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1"/>
        <w:autoSpaceDN w:val="1"/>
        <w:adjustRightInd w:val="1"/>
        <w:jc w:val="center"/>
        <w:rPr>
          <w:rFonts w:hint="default" w:ascii="ＭＳ 明朝" w:hAnsi="ＭＳ 明朝" w:eastAsia="ＭＳ 明朝"/>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5215890</wp:posOffset>
                </wp:positionH>
                <wp:positionV relativeFrom="paragraph">
                  <wp:posOffset>-446405</wp:posOffset>
                </wp:positionV>
                <wp:extent cx="772795" cy="35052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72795" cy="350520"/>
                        </a:xfrm>
                        <a:prstGeom prst="rect">
                          <a:avLst/>
                        </a:prstGeom>
                        <a:ln w="9525" cmpd="sng"/>
                      </wps:spPr>
                      <wps:style>
                        <a:lnRef idx="2">
                          <a:schemeClr val="dk1"/>
                        </a:lnRef>
                        <a:fillRef idx="1">
                          <a:schemeClr val="lt1"/>
                        </a:fillRef>
                        <a:effectRef idx="0">
                          <a:srgbClr val="000000"/>
                        </a:effectRef>
                        <a:fontRef idx="none">
                          <a:schemeClr val="dk1"/>
                        </a:fontRef>
                      </wps:style>
                      <wps:txbx>
                        <w:txbxContent>
                          <w:p>
                            <w:pPr>
                              <w:pStyle w:val="0"/>
                              <w:jc w:val="center"/>
                              <w:rPr>
                                <w:rFonts w:hint="eastAsia"/>
                              </w:rPr>
                            </w:pPr>
                            <w:r>
                              <w:rPr>
                                <w:rFonts w:hint="eastAsia" w:asciiTheme="majorEastAsia" w:hAnsiTheme="majorEastAsia" w:eastAsiaTheme="majorEastAsia"/>
                              </w:rPr>
                              <w:t>資料３</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35.15pt;mso-position-vertical-relative:text;mso-position-horizontal-relative:text;position:absolute;height:27.6pt;mso-wrap-distance-top:0pt;width:60.85pt;mso-wrap-distance-left:5.65pt;margin-left:410.7pt;z-index:2;" o:spid="_x0000_s1026" o:allowincell="t" o:allowoverlap="t" filled="t" fillcolor="#ffffff [3201]" stroked="t" strokecolor="#000000 [3200]" strokeweight="0.75pt" o:spt="202" type="#_x0000_t202">
                <v:fill/>
                <v:stroke linestyle="single" endcap="flat" dashstyle="solid" filltype="solid"/>
                <v:textbox style="layout-flow:horizontal;" inset="2.0637499999999998mm,0.24694444444444438mm,2.0637499999999998mm,0.24694444444444438mm">
                  <w:txbxContent>
                    <w:p>
                      <w:pPr>
                        <w:pStyle w:val="0"/>
                        <w:jc w:val="center"/>
                        <w:rPr>
                          <w:rFonts w:hint="eastAsia"/>
                        </w:rPr>
                      </w:pPr>
                      <w:r>
                        <w:rPr>
                          <w:rFonts w:hint="eastAsia" w:asciiTheme="majorEastAsia" w:hAnsiTheme="majorEastAsia" w:eastAsiaTheme="majorEastAsia"/>
                        </w:rPr>
                        <w:t>資料３</w:t>
                      </w:r>
                    </w:p>
                  </w:txbxContent>
                </v:textbox>
                <v:imagedata o:title=""/>
                <w10:wrap type="none" anchorx="text" anchory="text"/>
              </v:shape>
            </w:pict>
          </mc:Fallback>
        </mc:AlternateContent>
      </w:r>
      <w:r>
        <w:rPr>
          <w:rFonts w:hint="eastAsia" w:ascii="ＭＳ 明朝" w:hAnsi="ＭＳ 明朝" w:eastAsia="ＭＳ 明朝"/>
          <w:color w:val="000000" w:themeColor="text1"/>
        </w:rPr>
        <w:t>大崎市陸羽東線利活用促進検討会議設置規程</w:t>
      </w:r>
    </w:p>
    <w:p>
      <w:pPr>
        <w:pStyle w:val="0"/>
        <w:wordWrap w:val="0"/>
        <w:autoSpaceDE w:val="1"/>
        <w:autoSpaceDN w:val="1"/>
        <w:adjustRightInd w:val="1"/>
        <w:ind w:right="1136"/>
        <w:rPr>
          <w:rFonts w:hint="default" w:ascii="ＭＳ 明朝" w:hAnsi="ＭＳ 明朝" w:eastAsia="ＭＳ 明朝"/>
        </w:rPr>
      </w:pPr>
    </w:p>
    <w:p>
      <w:pPr>
        <w:pStyle w:val="0"/>
        <w:wordWrap w:val="0"/>
        <w:autoSpaceDE w:val="1"/>
        <w:autoSpaceDN w:val="1"/>
        <w:adjustRightInd w:val="1"/>
        <w:rPr>
          <w:rFonts w:hint="default" w:ascii="ＭＳ 明朝" w:hAnsi="ＭＳ 明朝" w:eastAsia="ＭＳ 明朝"/>
          <w:color w:val="auto"/>
        </w:rPr>
      </w:pPr>
      <w:r>
        <w:rPr>
          <w:rFonts w:hint="eastAsia" w:ascii="ＭＳ 明朝" w:hAnsi="ＭＳ 明朝" w:eastAsia="ＭＳ 明朝"/>
          <w:color w:val="auto"/>
        </w:rPr>
        <w:t>　（趣旨）</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第１条　陸羽東線の利活用促進に関する協議検討を行うため，大崎市陸羽東線利活用促進検討会議（以下「検討会議」という。）を設置する。</w:t>
      </w:r>
    </w:p>
    <w:p>
      <w:pPr>
        <w:pStyle w:val="0"/>
        <w:wordWrap w:val="0"/>
        <w:autoSpaceDE w:val="1"/>
        <w:autoSpaceDN w:val="1"/>
        <w:adjustRightInd w:val="1"/>
        <w:rPr>
          <w:rFonts w:hint="default" w:ascii="ＭＳ 明朝" w:hAnsi="ＭＳ 明朝" w:eastAsia="ＭＳ 明朝"/>
          <w:color w:val="000000" w:themeColor="text1"/>
        </w:rPr>
      </w:pPr>
      <w:r>
        <w:rPr>
          <w:rFonts w:hint="eastAsia" w:ascii="ＭＳ 明朝" w:hAnsi="ＭＳ 明朝" w:eastAsia="ＭＳ 明朝"/>
          <w:color w:val="000000" w:themeColor="text1"/>
        </w:rPr>
        <w:t>　（所掌事項）</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第２条　検討会議は，次に掲げる事項を所掌する。</w:t>
      </w:r>
    </w:p>
    <w:p>
      <w:pPr>
        <w:pStyle w:val="0"/>
        <w:wordWrap w:val="0"/>
        <w:autoSpaceDE w:val="1"/>
        <w:autoSpaceDN w:val="1"/>
        <w:adjustRightInd w:val="1"/>
        <w:rPr>
          <w:rFonts w:hint="default" w:ascii="ＭＳ 明朝" w:hAnsi="ＭＳ 明朝" w:eastAsia="ＭＳ 明朝"/>
          <w:color w:val="000000" w:themeColor="text1"/>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１</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　陸羽東線の利活用促進に関すること。</w:t>
      </w:r>
    </w:p>
    <w:p>
      <w:pPr>
        <w:pStyle w:val="0"/>
        <w:wordWrap w:val="0"/>
        <w:autoSpaceDE w:val="1"/>
        <w:autoSpaceDN w:val="1"/>
        <w:adjustRightInd w:val="1"/>
        <w:rPr>
          <w:rFonts w:hint="default" w:ascii="ＭＳ 明朝" w:hAnsi="ＭＳ 明朝" w:eastAsia="ＭＳ 明朝"/>
          <w:color w:val="000000" w:themeColor="text1"/>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２</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　陸羽東線沿線の地域活性化に関すること。</w:t>
      </w:r>
    </w:p>
    <w:p>
      <w:pPr>
        <w:pStyle w:val="0"/>
        <w:wordWrap w:val="0"/>
        <w:autoSpaceDE w:val="1"/>
        <w:autoSpaceDN w:val="1"/>
        <w:adjustRightInd w:val="1"/>
        <w:ind w:left="568" w:hanging="568" w:hangingChars="200"/>
        <w:rPr>
          <w:rFonts w:hint="default" w:ascii="ＭＳ 明朝" w:hAnsi="ＭＳ 明朝" w:eastAsia="ＭＳ 明朝"/>
          <w:color w:val="000000" w:themeColor="text1"/>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３</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　庁内及び関係機関相互の調整に関すること。</w:t>
      </w:r>
      <w:r>
        <w:rPr>
          <w:rFonts w:hint="eastAsia" w:ascii="ＭＳ 明朝" w:hAnsi="ＭＳ 明朝" w:eastAsia="ＭＳ 明朝"/>
          <w:color w:val="000000" w:themeColor="text1"/>
        </w:rPr>
        <w:t xml:space="preserve"> </w:t>
      </w:r>
    </w:p>
    <w:p>
      <w:pPr>
        <w:pStyle w:val="0"/>
        <w:wordWrap w:val="0"/>
        <w:autoSpaceDE w:val="1"/>
        <w:autoSpaceDN w:val="1"/>
        <w:adjustRightInd w:val="1"/>
        <w:ind w:left="568" w:hanging="568" w:hangingChars="200"/>
        <w:rPr>
          <w:rFonts w:hint="default" w:ascii="ＭＳ 明朝" w:hAnsi="ＭＳ 明朝" w:eastAsia="ＭＳ 明朝"/>
          <w:color w:val="000000" w:themeColor="text1"/>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４</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　前３号に掲げるもののほか，検討会議が必要と認める事項に関すること。</w:t>
      </w:r>
    </w:p>
    <w:p>
      <w:pPr>
        <w:pStyle w:val="0"/>
        <w:wordWrap w:val="0"/>
        <w:autoSpaceDE w:val="1"/>
        <w:autoSpaceDN w:val="1"/>
        <w:adjustRightInd w:val="1"/>
        <w:rPr>
          <w:rFonts w:hint="default" w:ascii="ＭＳ 明朝" w:hAnsi="ＭＳ 明朝" w:eastAsia="ＭＳ 明朝"/>
          <w:color w:val="000000" w:themeColor="text1"/>
        </w:rPr>
      </w:pPr>
      <w:r>
        <w:rPr>
          <w:rFonts w:hint="eastAsia" w:ascii="ＭＳ 明朝" w:hAnsi="ＭＳ 明朝" w:eastAsia="ＭＳ 明朝"/>
          <w:color w:val="000000" w:themeColor="text1"/>
        </w:rPr>
        <w:t>　（組織）</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第３条　検討会議は，会長，副会長，幹事長及び幹事をもって組織する。</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２　会長は，企画に関する事務を担当する副市長をもって充て，副会長は，他の副市長をもって充て，幹事長は，市民協働推進部長をもって充てる。</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３　幹事は，総務部長，民生部長，産業経済部長，建設部長，教育部長，市民病院経営管理部長，岩出山総合支所長及び鳴子総合支所長並びに東北運輸局，宮城県，東日本旅客鉄道株式会社東北本部，</w:t>
      </w:r>
      <w:r>
        <w:rPr>
          <w:rFonts w:hint="eastAsia"/>
          <w:color w:val="000000" w:themeColor="text1"/>
        </w:rPr>
        <w:t>一般社団法人みやぎ大崎観光公社及び鳴子温泉郷観光協会</w:t>
      </w:r>
      <w:r>
        <w:rPr>
          <w:rFonts w:hint="eastAsia" w:ascii="ＭＳ 明朝" w:hAnsi="ＭＳ 明朝" w:eastAsia="ＭＳ 明朝"/>
          <w:color w:val="000000" w:themeColor="text1"/>
        </w:rPr>
        <w:t>より推薦された職員をもって充てる。</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　（会長及び副会長）</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第４条　会長は，検討会議を総括する。</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２　副会長は，会長を補佐し，会長に事故あるとき，又は欠けたときは，その職務を代理する。</w:t>
      </w:r>
    </w:p>
    <w:p>
      <w:pPr>
        <w:pStyle w:val="0"/>
        <w:wordWrap w:val="0"/>
        <w:autoSpaceDE w:val="1"/>
        <w:autoSpaceDN w:val="1"/>
        <w:adjustRightInd w:val="1"/>
        <w:ind w:left="260"/>
        <w:rPr>
          <w:rFonts w:hint="default" w:ascii="ＭＳ 明朝" w:hAnsi="ＭＳ 明朝" w:eastAsia="ＭＳ 明朝"/>
          <w:color w:val="000000" w:themeColor="text1"/>
        </w:rPr>
      </w:pPr>
      <w:r>
        <w:rPr>
          <w:rFonts w:hint="eastAsia" w:ascii="ＭＳ 明朝" w:hAnsi="ＭＳ 明朝" w:eastAsia="ＭＳ 明朝"/>
          <w:color w:val="000000" w:themeColor="text1"/>
        </w:rPr>
        <w:t>（庁内関係課会議）</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第５条　検討会議に，庁内関係課会議を設置する。</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２　庁内関係課会議は，検討会議に付すべき事項についてあらかじめ検討するほか，会長等の指示する事項を調査研究する。</w:t>
      </w:r>
    </w:p>
    <w:p>
      <w:pPr>
        <w:pStyle w:val="0"/>
        <w:wordWrap w:val="0"/>
        <w:autoSpaceDE w:val="1"/>
        <w:autoSpaceDN w:val="1"/>
        <w:adjustRightInd w:val="1"/>
        <w:ind w:left="284" w:hanging="284"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３　庁内関係課会議の構成員は，総務部人財育成課，市民協働推進部政策課，民生部高齢障がい福祉課，産業経済部産業商工課，産業経済部観光交流課，建設部都市計画課，教育部学校教育課，岩出山総合支所地域振興課及び鳴子総合支所地域振興課に属する職員のうちから当該課長が指名する者とする。</w:t>
      </w:r>
    </w:p>
    <w:p>
      <w:pPr>
        <w:pStyle w:val="0"/>
        <w:wordWrap w:val="0"/>
        <w:autoSpaceDE w:val="1"/>
        <w:autoSpaceDN w:val="1"/>
        <w:adjustRightInd w:val="1"/>
        <w:rPr>
          <w:rFonts w:hint="default" w:ascii="ＭＳ 明朝" w:hAnsi="ＭＳ 明朝" w:eastAsia="ＭＳ 明朝"/>
          <w:color w:val="000000" w:themeColor="text1"/>
        </w:rPr>
      </w:pPr>
      <w:r>
        <w:rPr>
          <w:rFonts w:hint="eastAsia" w:ascii="ＭＳ 明朝" w:hAnsi="ＭＳ 明朝" w:eastAsia="ＭＳ 明朝"/>
          <w:color w:val="000000" w:themeColor="text1"/>
        </w:rPr>
        <w:t>　（会議）</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第６条　検討会議は，市長が招集し，会長が座長となる。</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２　会長は，検討会議にオブザーバーとして，関係機関の職員を出席させ，必要に応じて発言を求めることができる。</w:t>
      </w:r>
    </w:p>
    <w:p>
      <w:pPr>
        <w:pStyle w:val="0"/>
        <w:wordWrap w:val="0"/>
        <w:autoSpaceDE w:val="1"/>
        <w:autoSpaceDN w:val="1"/>
        <w:adjustRightInd w:val="1"/>
        <w:rPr>
          <w:rFonts w:hint="default" w:ascii="ＭＳ 明朝" w:hAnsi="ＭＳ 明朝" w:eastAsia="ＭＳ 明朝"/>
          <w:color w:val="000000" w:themeColor="text1"/>
        </w:rPr>
      </w:pPr>
      <w:r>
        <w:rPr>
          <w:rFonts w:hint="eastAsia" w:ascii="ＭＳ 明朝" w:hAnsi="ＭＳ 明朝" w:eastAsia="ＭＳ 明朝"/>
          <w:color w:val="000000" w:themeColor="text1"/>
        </w:rPr>
        <w:t>　（庶務）</w:t>
      </w:r>
    </w:p>
    <w:p>
      <w:pPr>
        <w:pStyle w:val="0"/>
        <w:wordWrap w:val="0"/>
        <w:autoSpaceDE w:val="1"/>
        <w:autoSpaceDN w:val="1"/>
        <w:adjustRightInd w:val="1"/>
        <w:ind w:left="260" w:hanging="260"/>
        <w:rPr>
          <w:rFonts w:hint="default" w:ascii="ＭＳ 明朝" w:hAnsi="ＭＳ 明朝" w:eastAsia="ＭＳ 明朝"/>
          <w:color w:val="000000" w:themeColor="text1"/>
        </w:rPr>
      </w:pPr>
      <w:r>
        <w:rPr>
          <w:rFonts w:hint="eastAsia" w:ascii="ＭＳ 明朝" w:hAnsi="ＭＳ 明朝" w:eastAsia="ＭＳ 明朝"/>
          <w:color w:val="000000" w:themeColor="text1"/>
        </w:rPr>
        <w:t>第７条　検討会議及び庁内関係課会議の庶務は，市民協働推進部まちづくり推進課において処理する。</w:t>
      </w:r>
    </w:p>
    <w:p>
      <w:pPr>
        <w:pStyle w:val="0"/>
        <w:wordWrap w:val="0"/>
        <w:autoSpaceDE w:val="1"/>
        <w:autoSpaceDN w:val="1"/>
        <w:adjustRightInd w:val="1"/>
        <w:jc w:val="both"/>
        <w:rPr>
          <w:rFonts w:hint="default" w:ascii="ＭＳ 明朝" w:hAnsi="ＭＳ 明朝" w:eastAsia="ＭＳ 明朝"/>
          <w:color w:val="000000" w:themeColor="text1"/>
          <w:kern w:val="2"/>
        </w:rPr>
      </w:pPr>
      <w:r>
        <w:rPr>
          <w:rFonts w:hint="eastAsia" w:ascii="ＭＳ 明朝" w:hAnsi="ＭＳ 明朝" w:eastAsia="ＭＳ 明朝"/>
          <w:color w:val="000000" w:themeColor="text1"/>
          <w:kern w:val="2"/>
        </w:rPr>
        <w:t>　（その他）</w:t>
      </w:r>
    </w:p>
    <w:p>
      <w:pPr>
        <w:pStyle w:val="0"/>
        <w:wordWrap w:val="0"/>
        <w:autoSpaceDE w:val="1"/>
        <w:autoSpaceDN w:val="1"/>
        <w:adjustRightInd w:val="1"/>
        <w:ind w:left="284" w:hanging="284" w:hangingChars="100"/>
        <w:jc w:val="both"/>
        <w:rPr>
          <w:rFonts w:hint="default" w:ascii="ＭＳ 明朝" w:hAnsi="ＭＳ 明朝" w:eastAsia="ＭＳ 明朝"/>
          <w:color w:val="000000" w:themeColor="text1"/>
          <w:kern w:val="2"/>
        </w:rPr>
      </w:pPr>
      <w:r>
        <w:rPr>
          <w:rFonts w:hint="eastAsia" w:ascii="ＭＳ 明朝" w:hAnsi="ＭＳ 明朝" w:eastAsia="ＭＳ 明朝"/>
          <w:color w:val="000000" w:themeColor="text1"/>
          <w:kern w:val="2"/>
        </w:rPr>
        <w:t>第８条　この規程に定めるもののほか，検討会議に関し必要な事項は，市民協働推進部長が別に定める。</w:t>
      </w:r>
      <w:bookmarkStart w:id="0" w:name="last"/>
      <w:bookmarkEnd w:id="0"/>
    </w:p>
    <w:p>
      <w:pPr>
        <w:pStyle w:val="0"/>
        <w:wordWrap w:val="0"/>
        <w:autoSpaceDE w:val="1"/>
        <w:autoSpaceDN w:val="1"/>
        <w:adjustRightInd w:val="1"/>
        <w:ind w:left="284" w:hanging="284" w:hangingChars="100"/>
        <w:jc w:val="both"/>
        <w:rPr>
          <w:rFonts w:hint="default" w:ascii="ＭＳ 明朝" w:hAnsi="ＭＳ 明朝" w:eastAsia="ＭＳ 明朝"/>
          <w:color w:val="000000" w:themeColor="text1"/>
          <w:kern w:val="2"/>
        </w:rPr>
      </w:pPr>
      <w:r>
        <w:rPr>
          <w:rFonts w:hint="eastAsia" w:ascii="ＭＳ 明朝" w:hAnsi="ＭＳ 明朝" w:eastAsia="ＭＳ 明朝"/>
          <w:color w:val="000000" w:themeColor="text1"/>
          <w:kern w:val="2"/>
        </w:rPr>
        <w:t>　　　附　則</w:t>
      </w:r>
    </w:p>
    <w:p>
      <w:pPr>
        <w:pStyle w:val="0"/>
        <w:wordWrap w:val="0"/>
        <w:autoSpaceDE w:val="1"/>
        <w:autoSpaceDN w:val="1"/>
        <w:adjustRightInd w:val="1"/>
        <w:ind w:left="284" w:hanging="284" w:hangingChars="100"/>
        <w:jc w:val="both"/>
        <w:rPr>
          <w:rFonts w:hint="default" w:ascii="ＭＳ 明朝" w:hAnsi="ＭＳ 明朝" w:eastAsia="ＭＳ 明朝"/>
          <w:color w:val="000000" w:themeColor="text1"/>
        </w:rPr>
      </w:pPr>
      <w:r>
        <w:rPr>
          <w:rFonts w:hint="eastAsia" w:ascii="ＭＳ 明朝" w:hAnsi="ＭＳ 明朝" w:eastAsia="ＭＳ 明朝"/>
          <w:color w:val="000000" w:themeColor="text1"/>
        </w:rPr>
        <w:t>　この訓令は，令和４年９月２０日から施行する。</w:t>
      </w:r>
    </w:p>
    <w:p>
      <w:pPr>
        <w:pStyle w:val="0"/>
        <w:wordWrap w:val="0"/>
        <w:autoSpaceDE w:val="1"/>
        <w:autoSpaceDN w:val="1"/>
        <w:adjustRightInd w:val="1"/>
        <w:ind w:left="284" w:leftChars="100" w:firstLine="0" w:firstLineChars="0"/>
        <w:jc w:val="both"/>
        <w:rPr>
          <w:rFonts w:hint="default" w:ascii="ＭＳ 明朝" w:hAnsi="ＭＳ 明朝" w:eastAsia="ＭＳ 明朝"/>
          <w:color w:val="000000" w:themeColor="text1"/>
        </w:rPr>
      </w:pPr>
      <w:r>
        <w:rPr>
          <w:rFonts w:hint="eastAsia" w:ascii="ＭＳ 明朝" w:hAnsi="ＭＳ 明朝" w:eastAsia="ＭＳ 明朝"/>
          <w:color w:val="000000" w:themeColor="text1"/>
        </w:rPr>
        <w:t>この訓令は，令和５年７月２５日から施行する。</w:t>
      </w:r>
    </w:p>
    <w:p>
      <w:pPr>
        <w:pStyle w:val="0"/>
        <w:wordWrap w:val="0"/>
        <w:autoSpaceDE w:val="1"/>
        <w:autoSpaceDN w:val="1"/>
        <w:adjustRightInd w:val="1"/>
        <w:ind w:left="284" w:leftChars="100" w:firstLine="0" w:firstLineChars="0"/>
        <w:jc w:val="both"/>
        <w:rPr>
          <w:rFonts w:hint="default" w:ascii="ＭＳ 明朝" w:hAnsi="ＭＳ 明朝" w:eastAsia="ＭＳ 明朝"/>
          <w:color w:val="auto"/>
        </w:rPr>
      </w:pPr>
      <w:r>
        <w:rPr>
          <w:rFonts w:hint="eastAsia" w:ascii="ＭＳ 明朝" w:hAnsi="ＭＳ 明朝" w:eastAsia="ＭＳ 明朝"/>
          <w:color w:val="000000" w:themeColor="text1"/>
        </w:rPr>
        <w:t>この訓令は，令和５年８月</w:t>
      </w:r>
      <w:bookmarkStart w:id="1" w:name="_GoBack"/>
      <w:bookmarkEnd w:id="1"/>
      <w:r>
        <w:rPr>
          <w:rFonts w:hint="eastAsia" w:ascii="ＭＳ 明朝" w:hAnsi="ＭＳ 明朝" w:eastAsia="ＭＳ 明朝"/>
          <w:color w:val="000000" w:themeColor="text1"/>
        </w:rPr>
        <w:t>８日から施行する。</w:t>
      </w:r>
    </w:p>
    <w:sectPr>
      <w:footerReference r:id="rId5" w:type="default"/>
      <w:pgSz w:w="11905" w:h="16837"/>
      <w:pgMar w:top="1418" w:right="1247" w:bottom="1701" w:left="1247" w:header="851" w:footer="567" w:gutter="0"/>
      <w:cols w:space="720"/>
      <w:noEndnote w:val="1"/>
      <w:textDirection w:val="lrTb"/>
      <w:docGrid w:type="linesAndChars" w:linePitch="527"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312" w:lineRule="atLeast"/>
      <w:jc w:val="center"/>
      <w:rPr>
        <w:rFonts w:hint="default" w:ascii="Century" w:hAnsi="Century" w:eastAsia="ＭＳ 明朝"/>
        <w:color w:val="000000"/>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142"/>
  <w:drawingGridVerticalSpacing w:val="527"/>
  <w:displayHorizontalDrawingGridEvery w:val="0"/>
  <w:doNotShadeFormData/>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adjustRightInd w:val="0"/>
    </w:pPr>
    <w:rPr>
      <w:rFonts w:ascii="Arial" w:hAnsi="Arial"/>
      <w:kern w:val="26"/>
      <w:sz w:val="26"/>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Arial" w:hAnsi="Arial"/>
      <w:kern w:val="0"/>
      <w:sz w:val="26"/>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Arial" w:hAnsi="Arial"/>
      <w:kern w:val="0"/>
      <w:sz w:val="26"/>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kern w:val="0"/>
      <w:sz w:val="18"/>
    </w:rPr>
  </w:style>
  <w:style w:type="paragraph" w:styleId="21">
    <w:name w:val="List Paragraph"/>
    <w:basedOn w:val="0"/>
    <w:next w:val="21"/>
    <w:link w:val="0"/>
    <w:uiPriority w:val="0"/>
    <w:qFormat/>
    <w:pPr>
      <w:ind w:left="840" w:leftChars="400"/>
    </w:pPr>
  </w:style>
  <w:style w:type="character" w:styleId="22">
    <w:name w:val="annotation reference"/>
    <w:basedOn w:val="10"/>
    <w:next w:val="22"/>
    <w:link w:val="0"/>
    <w:uiPriority w:val="0"/>
    <w:semiHidden/>
    <w:rPr>
      <w:sz w:val="18"/>
    </w:rPr>
  </w:style>
  <w:style w:type="paragraph" w:styleId="23">
    <w:name w:val="annotation text"/>
    <w:basedOn w:val="0"/>
    <w:next w:val="23"/>
    <w:link w:val="24"/>
    <w:uiPriority w:val="0"/>
    <w:semiHidden/>
  </w:style>
  <w:style w:type="character" w:styleId="24" w:customStyle="1">
    <w:name w:val="コメント文字列 (文字)"/>
    <w:basedOn w:val="10"/>
    <w:next w:val="24"/>
    <w:link w:val="23"/>
    <w:uiPriority w:val="0"/>
    <w:rPr>
      <w:rFonts w:ascii="Arial" w:hAnsi="Arial"/>
      <w:kern w:val="26"/>
      <w:sz w:val="26"/>
    </w:rPr>
  </w:style>
  <w:style w:type="paragraph" w:styleId="25">
    <w:name w:val="annotation subject"/>
    <w:basedOn w:val="23"/>
    <w:next w:val="23"/>
    <w:link w:val="26"/>
    <w:uiPriority w:val="0"/>
    <w:semiHidden/>
    <w:rPr>
      <w:b w:val="1"/>
    </w:rPr>
  </w:style>
  <w:style w:type="character" w:styleId="26" w:customStyle="1">
    <w:name w:val="コメント内容 (文字)"/>
    <w:basedOn w:val="24"/>
    <w:next w:val="26"/>
    <w:link w:val="25"/>
    <w:uiPriority w:val="0"/>
    <w:rPr>
      <w:rFonts w:ascii="Arial" w:hAnsi="Arial"/>
      <w:b w:val="1"/>
      <w:kern w:val="26"/>
      <w:sz w:val="26"/>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204</TotalTime>
  <Pages>2</Pages>
  <Words>0</Words>
  <Characters>989</Characters>
  <Application>JUST Note</Application>
  <Lines>49</Lines>
  <Paragraphs>31</Paragraphs>
  <CharactersWithSpaces>1024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Windows ユーザー</dc:creator>
  <cp:lastModifiedBy>安藤豊</cp:lastModifiedBy>
  <cp:lastPrinted>2023-08-21T06:47:53Z</cp:lastPrinted>
  <dcterms:created xsi:type="dcterms:W3CDTF">2022-09-13T05:18:00Z</dcterms:created>
  <dcterms:modified xsi:type="dcterms:W3CDTF">2023-08-20T03:40:59Z</dcterms:modified>
  <cp:revision>17</cp:revision>
</cp:coreProperties>
</file>