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15240</wp:posOffset>
                </wp:positionH>
                <wp:positionV relativeFrom="paragraph">
                  <wp:posOffset>426720</wp:posOffset>
                </wp:positionV>
                <wp:extent cx="9218295" cy="1824990"/>
                <wp:effectExtent l="635" t="635" r="29845" b="10795"/>
                <wp:wrapSquare wrapText="bothSides"/>
                <wp:docPr id="1026" name="オブジェクト 0"/>
                <a:graphic xmlns:a="http://schemas.openxmlformats.org/drawingml/2006/main">
                  <a:graphicData uri="http://schemas.microsoft.com/office/word/2010/wordprocessingShape">
                    <wps:wsp>
                      <wps:cNvPr id="1026" name="オブジェクト 0"/>
                      <wps:cNvSpPr txBox="1"/>
                      <wps:spPr>
                        <a:xfrm>
                          <a:off x="0" y="0"/>
                          <a:ext cx="9218295" cy="1824990"/>
                        </a:xfrm>
                        <a:prstGeom prst="rect"/>
                        <a:solidFill>
                          <a:srgbClr val="FFFF99"/>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spacing w:after="240" w:afterLines="0" w:afterAutospacing="0" w:line="400" w:lineRule="exact"/>
                              <w:jc w:val="left"/>
                              <w:rPr>
                                <w:rFonts w:hint="eastAsia" w:ascii="ＭＳ ゴシック" w:hAnsi="ＭＳ ゴシック" w:eastAsia="ＭＳ ゴシック"/>
                                <w:sz w:val="28"/>
                              </w:rPr>
                            </w:pPr>
                            <w:r>
                              <w:rPr>
                                <w:rFonts w:hint="eastAsia" w:ascii="ＭＳ ゴシック" w:hAnsi="ＭＳ ゴシック" w:eastAsia="ＭＳ ゴシック"/>
                                <w:b w:val="1"/>
                                <w:sz w:val="28"/>
                              </w:rPr>
                              <w:t>１　設置経緯</w:t>
                            </w:r>
                          </w:p>
                          <w:p>
                            <w:pPr>
                              <w:pStyle w:val="0"/>
                              <w:spacing w:before="240" w:beforeLines="0" w:beforeAutospacing="0" w:after="240" w:afterLines="0" w:afterAutospacing="0" w:line="400" w:lineRule="exact"/>
                              <w:jc w:val="left"/>
                              <w:rPr>
                                <w:rFonts w:hint="eastAsia"/>
                              </w:rPr>
                            </w:pPr>
                            <w:r>
                              <w:rPr>
                                <w:rFonts w:hint="eastAsia" w:ascii="ＭＳ ゴシック" w:hAnsi="ＭＳ ゴシック" w:eastAsia="ＭＳ ゴシック"/>
                                <w:sz w:val="28"/>
                              </w:rPr>
                              <w:t>　昨年７月のＪＲ東日本が開示した利用の少ない路線別の経営情報を踏まえ，危機的な状況にある陸羽東線の維持・存続に向けて，「大崎市陸羽東線再構築検討会議」を設置し，沿線地域に設置した地域懇談会や庁内検討会議等の議論を含め，再構築検討会議の役割とした利活用促進策をまとめ検討報告書を作成した。</w:t>
                            </w:r>
                          </w:p>
                          <w:p>
                            <w:pPr>
                              <w:pStyle w:val="0"/>
                              <w:spacing w:before="240" w:beforeLines="0" w:beforeAutospacing="0" w:after="240" w:afterLines="0" w:afterAutospacing="0" w:line="400" w:lineRule="exact"/>
                              <w:jc w:val="left"/>
                              <w:rPr>
                                <w:rFonts w:hint="eastAsia"/>
                              </w:rPr>
                            </w:pPr>
                            <w:r>
                              <w:rPr>
                                <w:rFonts w:hint="eastAsia" w:ascii="ＭＳ ゴシック" w:hAnsi="ＭＳ ゴシック" w:eastAsia="ＭＳ ゴシック"/>
                                <w:sz w:val="28"/>
                              </w:rPr>
                              <w:t>　今年度より，この検討報告書に掲げる事業項目の具現化に取り組み，令和７年度までの３か年で古川～鳴子温泉駅間の１日あたりの平均通過人員を１，０００人台とする目標を掲げている。その目標達成に向けて，これまでオブザーバーであつた関係機関等より委員としての参画を得て体制整備を図り，組織名称を「陸羽東線利活用促進検討会議」と改め，一層の連携強化のもとで利活用促進に取り組む。</w:t>
                            </w:r>
                          </w:p>
                        </w:txbxContent>
                      </wps:txbx>
                      <wps:bodyPr wrap="square">
                        <a:spAutoFit/>
                      </wps:bodyPr>
                    </wps:wsp>
                  </a:graphicData>
                </a:graphic>
              </wp:anchor>
            </w:drawing>
          </mc:Choice>
          <mc:Fallback>
            <w:pict>
              <v:shapetype id="_x0000_t202" coordsize="21600,21600" o:spt="202" path="m,l,21600r21600,l21600,xe">
                <v:stroke joinstyle="miter"/>
                <v:path gradientshapeok="t" o:connecttype="rect"/>
              </v:shapetype>
              <v:shape id="_x0000_s1026" style="mso-wrap-distance-right:5.65pt;mso-wrap-distance-bottom:0pt;margin-top:33.6pt;mso-position-vertical-relative:text;mso-position-horizontal-relative:text;position:absolute;mso-wrap-mode:square;height:143.69pt;mso-wrap-distance-top:0pt;width:725.85pt;mso-wrap-distance-left:5.65pt;margin-left:1.2pt;z-index:2;" o:allowincell="t" o:allowoverlap="t" filled="t" fillcolor="#ffff99" stroked="t" strokecolor="#000000" strokeweight="0.5pt" o:spt="202" type="#_x0000_t202">
                <v:fill/>
                <v:stroke linestyle="single" filltype="solid"/>
                <v:textbox style="layout-flow:horizontal;mso-fit-shape-to-text:t;">
                  <w:txbxContent>
                    <w:p>
                      <w:pPr>
                        <w:pStyle w:val="0"/>
                        <w:spacing w:after="240" w:afterLines="0" w:afterAutospacing="0" w:line="400" w:lineRule="exact"/>
                        <w:jc w:val="left"/>
                        <w:rPr>
                          <w:rFonts w:hint="eastAsia" w:ascii="ＭＳ ゴシック" w:hAnsi="ＭＳ ゴシック" w:eastAsia="ＭＳ ゴシック"/>
                          <w:sz w:val="28"/>
                        </w:rPr>
                      </w:pPr>
                      <w:r>
                        <w:rPr>
                          <w:rFonts w:hint="eastAsia" w:ascii="ＭＳ ゴシック" w:hAnsi="ＭＳ ゴシック" w:eastAsia="ＭＳ ゴシック"/>
                          <w:b w:val="1"/>
                          <w:sz w:val="28"/>
                        </w:rPr>
                        <w:t>１　設置経緯</w:t>
                      </w:r>
                    </w:p>
                    <w:p>
                      <w:pPr>
                        <w:pStyle w:val="0"/>
                        <w:spacing w:before="240" w:beforeLines="0" w:beforeAutospacing="0" w:after="240" w:afterLines="0" w:afterAutospacing="0" w:line="400" w:lineRule="exact"/>
                        <w:jc w:val="left"/>
                        <w:rPr>
                          <w:rFonts w:hint="eastAsia"/>
                        </w:rPr>
                      </w:pPr>
                      <w:r>
                        <w:rPr>
                          <w:rFonts w:hint="eastAsia" w:ascii="ＭＳ ゴシック" w:hAnsi="ＭＳ ゴシック" w:eastAsia="ＭＳ ゴシック"/>
                          <w:sz w:val="28"/>
                        </w:rPr>
                        <w:t>　昨年７月のＪＲ東日本が開示した利用の少ない路線別の経営情報を踏まえ，危機的な状況にある陸羽東線の維持・存続に向けて，「大崎市陸羽東線再構築検討会議」を設置し，沿線地域に設置した地域懇談会や庁内検討会議等の議論を含め，再構築検討会議の役割とした利活用促進策をまとめ検討報告書を作成した。</w:t>
                      </w:r>
                    </w:p>
                    <w:p>
                      <w:pPr>
                        <w:pStyle w:val="0"/>
                        <w:spacing w:before="240" w:beforeLines="0" w:beforeAutospacing="0" w:after="240" w:afterLines="0" w:afterAutospacing="0" w:line="400" w:lineRule="exact"/>
                        <w:jc w:val="left"/>
                        <w:rPr>
                          <w:rFonts w:hint="eastAsia"/>
                        </w:rPr>
                      </w:pPr>
                      <w:r>
                        <w:rPr>
                          <w:rFonts w:hint="eastAsia" w:ascii="ＭＳ ゴシック" w:hAnsi="ＭＳ ゴシック" w:eastAsia="ＭＳ ゴシック"/>
                          <w:sz w:val="28"/>
                        </w:rPr>
                        <w:t>　今年度より，この検討報告書に掲げる事業項目の具現化に取り組み，令和７年度までの３か年で古川～鳴子温泉駅間の１日あたりの平均通過人員を１，０００人台とする目標を掲げている。その目標達成に向けて，これまでオブザーバーであつた関係機関等より委員としての参画を得て体制整備を図り，組織名称を「陸羽東線利活用促進検討会議」と改め，一層の連携強化のもとで利活用促進に取り組む。</w:t>
                      </w:r>
                    </w:p>
                  </w:txbxContent>
                </v:textbox>
                <v:imagedata o:title=""/>
                <w10:wrap type="square" side="both" anchorx="text" anchory="text"/>
              </v:shape>
            </w:pict>
          </mc:Fallback>
        </mc:AlternateContent>
      </w:r>
      <w:r>
        <w:rPr>
          <w:rFonts w:hint="eastAsia"/>
        </w:rPr>
        <mc:AlternateContent>
          <mc:Choice Requires="wps">
            <w:drawing>
              <wp:anchor distT="0" distB="0" distL="203200" distR="203200" simplePos="0" relativeHeight="4" behindDoc="0" locked="0" layoutInCell="1" hidden="0" allowOverlap="1">
                <wp:simplePos x="0" y="0"/>
                <wp:positionH relativeFrom="column">
                  <wp:posOffset>8453755</wp:posOffset>
                </wp:positionH>
                <wp:positionV relativeFrom="paragraph">
                  <wp:posOffset>-208915</wp:posOffset>
                </wp:positionV>
                <wp:extent cx="779780" cy="44196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779780" cy="441960"/>
                        </a:xfrm>
                        <a:prstGeom prst="rect"/>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rPr>
                            </w:pPr>
                            <w:r>
                              <w:rPr>
                                <w:rFonts w:hint="eastAsia" w:ascii="ＭＳ ゴシック" w:hAnsi="ＭＳ ゴシック" w:eastAsia="ＭＳ ゴシック"/>
                                <w:sz w:val="28"/>
                              </w:rPr>
                              <w:t>資料１</w:t>
                            </w:r>
                          </w:p>
                        </w:txbxContent>
                      </wps:txbx>
                      <wps:bodyPr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_x0000_s1027" style="mso-wrap-distance-right:16pt;mso-wrap-distance-bottom:0pt;margin-top:-16.45pt;mso-position-vertical-relative:text;mso-position-horizontal-relative:text;position:absolute;height:34.79pt;mso-wrap-distance-top:0pt;width:61.4pt;mso-wrap-distance-left:16pt;margin-left:665.65pt;z-index:4;"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jc w:val="center"/>
                        <w:rPr>
                          <w:rFonts w:hint="eastAsia"/>
                        </w:rPr>
                      </w:pPr>
                      <w:r>
                        <w:rPr>
                          <w:rFonts w:hint="eastAsia" w:ascii="ＭＳ ゴシック" w:hAnsi="ＭＳ ゴシック" w:eastAsia="ＭＳ ゴシック"/>
                          <w:sz w:val="28"/>
                        </w:rPr>
                        <w:t>資料１</w:t>
                      </w:r>
                    </w:p>
                  </w:txbxContent>
                </v:textbox>
                <v:imagedata o:title=""/>
                <w10:wrap type="none" anchorx="text" anchory="text"/>
              </v:shape>
            </w:pict>
          </mc:Fallback>
        </mc:AlternateContent>
      </w:r>
      <w:r>
        <w:rPr>
          <w:rFonts w:hint="eastAsia" w:ascii="ＭＳ ゴシック" w:hAnsi="ＭＳ ゴシック" w:eastAsia="ＭＳ ゴシック"/>
          <w:sz w:val="32"/>
        </w:rPr>
        <w:t>大崎市陸羽東線利活用促進検討会議について</w:t>
      </w:r>
      <w:bookmarkStart w:id="0" w:name="_GoBack"/>
      <w:bookmarkEnd w:id="0"/>
    </w:p>
    <w:p>
      <w:pPr>
        <w:pStyle w:val="0"/>
        <w:rPr>
          <w:rFonts w:hint="eastAsia"/>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15875</wp:posOffset>
                </wp:positionH>
                <wp:positionV relativeFrom="paragraph">
                  <wp:posOffset>2722245</wp:posOffset>
                </wp:positionV>
                <wp:extent cx="9217660" cy="2774315"/>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txBox="1"/>
                      <wps:spPr>
                        <a:xfrm>
                          <a:off x="0" y="0"/>
                          <a:ext cx="9217660" cy="2774315"/>
                        </a:xfrm>
                        <a:prstGeom prst="rect"/>
                        <a:solidFill>
                          <a:srgbClr val="CC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spacing w:after="240" w:afterLines="0" w:afterAutospacing="0" w:line="340" w:lineRule="exact"/>
                              <w:jc w:val="left"/>
                              <w:rPr>
                                <w:rFonts w:hint="eastAsia" w:ascii="ＭＳ ゴシック" w:hAnsi="ＭＳ ゴシック" w:eastAsia="ＭＳ ゴシック"/>
                                <w:sz w:val="28"/>
                              </w:rPr>
                            </w:pPr>
                            <w:r>
                              <w:rPr>
                                <w:rFonts w:hint="eastAsia" w:ascii="ＭＳ ゴシック" w:hAnsi="ＭＳ ゴシック" w:eastAsia="ＭＳ ゴシック"/>
                                <w:b w:val="1"/>
                                <w:sz w:val="28"/>
                              </w:rPr>
                              <w:t>２　利活用促進検討会議の役割</w:t>
                            </w:r>
                          </w:p>
                          <w:p>
                            <w:pPr>
                              <w:pStyle w:val="0"/>
                              <w:spacing w:before="240" w:beforeLines="0" w:beforeAutospacing="0" w:after="240" w:afterLines="0" w:afterAutospacing="0" w:line="340" w:lineRule="exact"/>
                              <w:jc w:val="left"/>
                              <w:rPr>
                                <w:rFonts w:hint="eastAsia" w:ascii="ＭＳ ゴシック" w:hAnsi="ＭＳ ゴシック" w:eastAsia="ＭＳ ゴシック"/>
                                <w:sz w:val="28"/>
                              </w:rPr>
                            </w:pPr>
                            <w:r>
                              <w:rPr>
                                <w:rFonts w:hint="eastAsia" w:ascii="ＭＳ ゴシック" w:hAnsi="ＭＳ ゴシック" w:eastAsia="ＭＳ ゴシック"/>
                                <w:sz w:val="28"/>
                              </w:rPr>
                              <w:t>　陸羽東線の維持・存続に向けて，再構築検討会議が取りまとめた利活用促進策の具現化を検討し，効果的な事業としての推進を図る。</w:t>
                            </w:r>
                          </w:p>
                          <w:p>
                            <w:pPr>
                              <w:pStyle w:val="0"/>
                              <w:spacing w:before="240" w:beforeLines="0" w:beforeAutospacing="0" w:after="240" w:afterLines="0" w:afterAutospacing="0" w:line="340" w:lineRule="exact"/>
                              <w:jc w:val="left"/>
                              <w:rPr>
                                <w:rFonts w:hint="eastAsia" w:ascii="ＭＳ ゴシック" w:hAnsi="ＭＳ ゴシック" w:eastAsia="ＭＳ ゴシック"/>
                                <w:sz w:val="28"/>
                              </w:rPr>
                            </w:pPr>
                            <w:r>
                              <w:rPr>
                                <w:rFonts w:hint="eastAsia" w:ascii="ＭＳ ゴシック" w:hAnsi="ＭＳ ゴシック" w:eastAsia="ＭＳ ゴシック"/>
                                <w:sz w:val="28"/>
                              </w:rPr>
                              <w:t>＜所掌事項＞</w:t>
                            </w:r>
                          </w:p>
                          <w:p>
                            <w:pPr>
                              <w:pStyle w:val="0"/>
                              <w:spacing w:before="240" w:beforeLines="0" w:beforeAutospacing="0" w:after="240" w:afterLines="0" w:afterAutospacing="0" w:line="340" w:lineRule="exact"/>
                              <w:jc w:val="left"/>
                              <w:rPr>
                                <w:rFonts w:hint="eastAsia" w:ascii="ＭＳ ゴシック" w:hAnsi="ＭＳ ゴシック" w:eastAsia="ＭＳ ゴシック"/>
                                <w:sz w:val="28"/>
                              </w:rPr>
                            </w:pPr>
                            <w:r>
                              <w:rPr>
                                <w:rFonts w:hint="default" w:ascii="メイリオ" w:hAnsi="メイリオ" w:eastAsia="メイリオ"/>
                                <w:sz w:val="28"/>
                              </w:rPr>
                              <w:t>　</w:t>
                            </w:r>
                            <w:r>
                              <w:rPr>
                                <w:rFonts w:hint="eastAsia" w:ascii="ＭＳ ゴシック" w:hAnsi="ＭＳ ゴシック" w:eastAsia="ＭＳ ゴシック"/>
                                <w:sz w:val="28"/>
                              </w:rPr>
                              <w:t>(</w:t>
                            </w:r>
                            <w:r>
                              <w:rPr>
                                <w:rFonts w:hint="eastAsia" w:ascii="ＭＳ ゴシック" w:hAnsi="ＭＳ ゴシック" w:eastAsia="ＭＳ ゴシック"/>
                                <w:sz w:val="28"/>
                              </w:rPr>
                              <w:t>１</w:t>
                            </w:r>
                            <w:r>
                              <w:rPr>
                                <w:rFonts w:hint="eastAsia" w:ascii="ＭＳ ゴシック" w:hAnsi="ＭＳ ゴシック" w:eastAsia="ＭＳ ゴシック"/>
                                <w:sz w:val="28"/>
                              </w:rPr>
                              <w:t>)</w:t>
                            </w:r>
                            <w:r>
                              <w:rPr>
                                <w:rFonts w:hint="eastAsia" w:ascii="ＭＳ ゴシック" w:hAnsi="ＭＳ ゴシック" w:eastAsia="ＭＳ ゴシック"/>
                                <w:sz w:val="28"/>
                              </w:rPr>
                              <w:t>　陸羽東線の利活用促進に関すること。</w:t>
                            </w:r>
                          </w:p>
                          <w:p>
                            <w:pPr>
                              <w:pStyle w:val="0"/>
                              <w:spacing w:before="240" w:beforeLines="0" w:beforeAutospacing="0" w:after="240" w:afterLines="0" w:afterAutospacing="0" w:line="340" w:lineRule="exact"/>
                              <w:jc w:val="left"/>
                              <w:rPr>
                                <w:rFonts w:hint="default"/>
                                <w:sz w:val="28"/>
                              </w:rPr>
                            </w:pPr>
                            <w:r>
                              <w:rPr>
                                <w:rFonts w:hint="eastAsia" w:ascii="ＭＳ ゴシック" w:hAnsi="ＭＳ ゴシック" w:eastAsia="ＭＳ ゴシック"/>
                                <w:sz w:val="28"/>
                              </w:rPr>
                              <w:t>　</w:t>
                            </w:r>
                            <w:r>
                              <w:rPr>
                                <w:rFonts w:hint="eastAsia" w:ascii="ＭＳ ゴシック" w:hAnsi="ＭＳ ゴシック" w:eastAsia="ＭＳ ゴシック"/>
                                <w:sz w:val="28"/>
                              </w:rPr>
                              <w:t>(</w:t>
                            </w:r>
                            <w:r>
                              <w:rPr>
                                <w:rFonts w:hint="eastAsia" w:ascii="ＭＳ ゴシック" w:hAnsi="ＭＳ ゴシック" w:eastAsia="ＭＳ ゴシック"/>
                                <w:sz w:val="28"/>
                              </w:rPr>
                              <w:t>２</w:t>
                            </w:r>
                            <w:r>
                              <w:rPr>
                                <w:rFonts w:hint="eastAsia" w:ascii="ＭＳ ゴシック" w:hAnsi="ＭＳ ゴシック" w:eastAsia="ＭＳ ゴシック"/>
                                <w:sz w:val="28"/>
                              </w:rPr>
                              <w:t>)</w:t>
                            </w:r>
                            <w:r>
                              <w:rPr>
                                <w:rFonts w:hint="eastAsia" w:ascii="ＭＳ ゴシック" w:hAnsi="ＭＳ ゴシック" w:eastAsia="ＭＳ ゴシック"/>
                                <w:sz w:val="28"/>
                              </w:rPr>
                              <w:t>　陸羽東線沿線の地域活性化に関すること。</w:t>
                            </w:r>
                          </w:p>
                          <w:p>
                            <w:pPr>
                              <w:pStyle w:val="0"/>
                              <w:spacing w:before="240" w:beforeLines="0" w:beforeAutospacing="0" w:after="240" w:afterLines="0" w:afterAutospacing="0" w:line="340" w:lineRule="exact"/>
                              <w:jc w:val="left"/>
                              <w:rPr>
                                <w:rFonts w:hint="eastAsia" w:ascii="ＭＳ ゴシック" w:hAnsi="ＭＳ ゴシック" w:eastAsia="ＭＳ ゴシック"/>
                                <w:sz w:val="28"/>
                              </w:rPr>
                            </w:pPr>
                            <w:r>
                              <w:rPr>
                                <w:rFonts w:hint="default" w:ascii="メイリオ" w:hAnsi="メイリオ" w:eastAsia="メイリオ"/>
                                <w:sz w:val="28"/>
                              </w:rPr>
                              <w:t>　</w:t>
                            </w:r>
                            <w:r>
                              <w:rPr>
                                <w:rFonts w:hint="eastAsia" w:ascii="ＭＳ ゴシック" w:hAnsi="ＭＳ ゴシック" w:eastAsia="ＭＳ ゴシック"/>
                                <w:sz w:val="28"/>
                              </w:rPr>
                              <w:t>(</w:t>
                            </w:r>
                            <w:r>
                              <w:rPr>
                                <w:rFonts w:hint="eastAsia" w:ascii="ＭＳ ゴシック" w:hAnsi="ＭＳ ゴシック" w:eastAsia="ＭＳ ゴシック"/>
                                <w:sz w:val="28"/>
                              </w:rPr>
                              <w:t>３</w:t>
                            </w:r>
                            <w:r>
                              <w:rPr>
                                <w:rFonts w:hint="eastAsia" w:ascii="ＭＳ ゴシック" w:hAnsi="ＭＳ ゴシック" w:eastAsia="ＭＳ ゴシック"/>
                                <w:sz w:val="28"/>
                              </w:rPr>
                              <w:t>)</w:t>
                            </w:r>
                            <w:r>
                              <w:rPr>
                                <w:rFonts w:hint="eastAsia" w:ascii="ＭＳ ゴシック" w:hAnsi="ＭＳ ゴシック" w:eastAsia="ＭＳ ゴシック"/>
                                <w:sz w:val="28"/>
                              </w:rPr>
                              <w:t>　庁内及び関係機関相互の調整に関すること。</w:t>
                            </w:r>
                            <w:r>
                              <w:rPr>
                                <w:rFonts w:hint="eastAsia" w:ascii="ＭＳ ゴシック" w:hAnsi="ＭＳ ゴシック" w:eastAsia="ＭＳ ゴシック"/>
                                <w:sz w:val="28"/>
                              </w:rPr>
                              <w:t xml:space="preserve"> </w:t>
                            </w:r>
                          </w:p>
                          <w:p>
                            <w:pPr>
                              <w:pStyle w:val="0"/>
                              <w:spacing w:before="240" w:beforeLines="0" w:beforeAutospacing="0" w:after="240" w:afterLines="0" w:afterAutospacing="0" w:line="340" w:lineRule="exact"/>
                              <w:jc w:val="left"/>
                              <w:rPr>
                                <w:rFonts w:hint="eastAsia"/>
                              </w:rPr>
                            </w:pPr>
                            <w:r>
                              <w:rPr>
                                <w:rFonts w:hint="eastAsia" w:ascii="ＭＳ ゴシック" w:hAnsi="ＭＳ ゴシック" w:eastAsia="ＭＳ ゴシック"/>
                                <w:sz w:val="28"/>
                              </w:rPr>
                              <w:t>　</w:t>
                            </w:r>
                            <w:r>
                              <w:rPr>
                                <w:rFonts w:hint="eastAsia" w:ascii="ＭＳ ゴシック" w:hAnsi="ＭＳ ゴシック" w:eastAsia="ＭＳ ゴシック"/>
                                <w:sz w:val="28"/>
                              </w:rPr>
                              <w:t>(</w:t>
                            </w:r>
                            <w:r>
                              <w:rPr>
                                <w:rFonts w:hint="eastAsia" w:ascii="ＭＳ ゴシック" w:hAnsi="ＭＳ ゴシック" w:eastAsia="ＭＳ ゴシック"/>
                                <w:sz w:val="28"/>
                              </w:rPr>
                              <w:t>４</w:t>
                            </w:r>
                            <w:r>
                              <w:rPr>
                                <w:rFonts w:hint="eastAsia" w:ascii="ＭＳ ゴシック" w:hAnsi="ＭＳ ゴシック" w:eastAsia="ＭＳ ゴシック"/>
                                <w:sz w:val="28"/>
                              </w:rPr>
                              <w:t>)</w:t>
                            </w:r>
                            <w:r>
                              <w:rPr>
                                <w:rFonts w:hint="eastAsia" w:ascii="ＭＳ ゴシック" w:hAnsi="ＭＳ ゴシック" w:eastAsia="ＭＳ ゴシック"/>
                                <w:sz w:val="28"/>
                              </w:rPr>
                              <w:t>　前３号に掲げるもののほか，検討会議が必要と認める事項に関すること。</w:t>
                            </w:r>
                          </w:p>
                          <w:p>
                            <w:pPr>
                              <w:pStyle w:val="0"/>
                              <w:rPr>
                                <w:rFonts w:hint="eastAsia"/>
                              </w:rPr>
                            </w:pPr>
                          </w:p>
                        </w:txbxContent>
                      </wps:txbx>
                      <wps:bodyPr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_x0000_s1028" style="mso-wrap-distance-right:5.65pt;mso-wrap-distance-bottom:0pt;margin-top:214.35pt;mso-position-vertical-relative:text;mso-position-horizontal-relative:text;position:absolute;height:218.45pt;mso-wrap-distance-top:0pt;width:725.8pt;mso-wrap-distance-left:5.65pt;margin-left:1.25pt;z-index:3;" o:allowincell="t" o:allowoverlap="t" filled="t" fillcolor="#ccffff" stroked="t" strokecolor="#000000" strokeweight="0.5pt" o:spt="202" type="#_x0000_t202">
                <v:fill/>
                <v:stroke linestyle="single" filltype="solid"/>
                <v:textbox style="layout-flow:horizontal;" inset="2.0637499999999998mm,0.24694444444444438mm,2.0637499999999998mm,0.24694444444444438mm">
                  <w:txbxContent>
                    <w:p>
                      <w:pPr>
                        <w:pStyle w:val="0"/>
                        <w:spacing w:after="240" w:afterLines="0" w:afterAutospacing="0" w:line="340" w:lineRule="exact"/>
                        <w:jc w:val="left"/>
                        <w:rPr>
                          <w:rFonts w:hint="eastAsia" w:ascii="ＭＳ ゴシック" w:hAnsi="ＭＳ ゴシック" w:eastAsia="ＭＳ ゴシック"/>
                          <w:sz w:val="28"/>
                        </w:rPr>
                      </w:pPr>
                      <w:r>
                        <w:rPr>
                          <w:rFonts w:hint="eastAsia" w:ascii="ＭＳ ゴシック" w:hAnsi="ＭＳ ゴシック" w:eastAsia="ＭＳ ゴシック"/>
                          <w:b w:val="1"/>
                          <w:sz w:val="28"/>
                        </w:rPr>
                        <w:t>２　利活用促進検討会議の役割</w:t>
                      </w:r>
                    </w:p>
                    <w:p>
                      <w:pPr>
                        <w:pStyle w:val="0"/>
                        <w:spacing w:before="240" w:beforeLines="0" w:beforeAutospacing="0" w:after="240" w:afterLines="0" w:afterAutospacing="0" w:line="340" w:lineRule="exact"/>
                        <w:jc w:val="left"/>
                        <w:rPr>
                          <w:rFonts w:hint="eastAsia" w:ascii="ＭＳ ゴシック" w:hAnsi="ＭＳ ゴシック" w:eastAsia="ＭＳ ゴシック"/>
                          <w:sz w:val="28"/>
                        </w:rPr>
                      </w:pPr>
                      <w:r>
                        <w:rPr>
                          <w:rFonts w:hint="eastAsia" w:ascii="ＭＳ ゴシック" w:hAnsi="ＭＳ ゴシック" w:eastAsia="ＭＳ ゴシック"/>
                          <w:sz w:val="28"/>
                        </w:rPr>
                        <w:t>　陸羽東線の維持・存続に向けて，再構築検討会議が取りまとめた利活用促進策の具現化を検討し，効果的な事業としての推進を図る。</w:t>
                      </w:r>
                    </w:p>
                    <w:p>
                      <w:pPr>
                        <w:pStyle w:val="0"/>
                        <w:spacing w:before="240" w:beforeLines="0" w:beforeAutospacing="0" w:after="240" w:afterLines="0" w:afterAutospacing="0" w:line="340" w:lineRule="exact"/>
                        <w:jc w:val="left"/>
                        <w:rPr>
                          <w:rFonts w:hint="eastAsia" w:ascii="ＭＳ ゴシック" w:hAnsi="ＭＳ ゴシック" w:eastAsia="ＭＳ ゴシック"/>
                          <w:sz w:val="28"/>
                        </w:rPr>
                      </w:pPr>
                      <w:r>
                        <w:rPr>
                          <w:rFonts w:hint="eastAsia" w:ascii="ＭＳ ゴシック" w:hAnsi="ＭＳ ゴシック" w:eastAsia="ＭＳ ゴシック"/>
                          <w:sz w:val="28"/>
                        </w:rPr>
                        <w:t>＜所掌事項＞</w:t>
                      </w:r>
                    </w:p>
                    <w:p>
                      <w:pPr>
                        <w:pStyle w:val="0"/>
                        <w:spacing w:before="240" w:beforeLines="0" w:beforeAutospacing="0" w:after="240" w:afterLines="0" w:afterAutospacing="0" w:line="340" w:lineRule="exact"/>
                        <w:jc w:val="left"/>
                        <w:rPr>
                          <w:rFonts w:hint="eastAsia" w:ascii="ＭＳ ゴシック" w:hAnsi="ＭＳ ゴシック" w:eastAsia="ＭＳ ゴシック"/>
                          <w:sz w:val="28"/>
                        </w:rPr>
                      </w:pPr>
                      <w:r>
                        <w:rPr>
                          <w:rFonts w:hint="default" w:ascii="メイリオ" w:hAnsi="メイリオ" w:eastAsia="メイリオ"/>
                          <w:sz w:val="28"/>
                        </w:rPr>
                        <w:t>　</w:t>
                      </w:r>
                      <w:r>
                        <w:rPr>
                          <w:rFonts w:hint="eastAsia" w:ascii="ＭＳ ゴシック" w:hAnsi="ＭＳ ゴシック" w:eastAsia="ＭＳ ゴシック"/>
                          <w:sz w:val="28"/>
                        </w:rPr>
                        <w:t>(</w:t>
                      </w:r>
                      <w:r>
                        <w:rPr>
                          <w:rFonts w:hint="eastAsia" w:ascii="ＭＳ ゴシック" w:hAnsi="ＭＳ ゴシック" w:eastAsia="ＭＳ ゴシック"/>
                          <w:sz w:val="28"/>
                        </w:rPr>
                        <w:t>１</w:t>
                      </w:r>
                      <w:r>
                        <w:rPr>
                          <w:rFonts w:hint="eastAsia" w:ascii="ＭＳ ゴシック" w:hAnsi="ＭＳ ゴシック" w:eastAsia="ＭＳ ゴシック"/>
                          <w:sz w:val="28"/>
                        </w:rPr>
                        <w:t>)</w:t>
                      </w:r>
                      <w:r>
                        <w:rPr>
                          <w:rFonts w:hint="eastAsia" w:ascii="ＭＳ ゴシック" w:hAnsi="ＭＳ ゴシック" w:eastAsia="ＭＳ ゴシック"/>
                          <w:sz w:val="28"/>
                        </w:rPr>
                        <w:t>　陸羽東線の利活用促進に関すること。</w:t>
                      </w:r>
                    </w:p>
                    <w:p>
                      <w:pPr>
                        <w:pStyle w:val="0"/>
                        <w:spacing w:before="240" w:beforeLines="0" w:beforeAutospacing="0" w:after="240" w:afterLines="0" w:afterAutospacing="0" w:line="340" w:lineRule="exact"/>
                        <w:jc w:val="left"/>
                        <w:rPr>
                          <w:rFonts w:hint="default"/>
                          <w:sz w:val="28"/>
                        </w:rPr>
                      </w:pPr>
                      <w:r>
                        <w:rPr>
                          <w:rFonts w:hint="eastAsia" w:ascii="ＭＳ ゴシック" w:hAnsi="ＭＳ ゴシック" w:eastAsia="ＭＳ ゴシック"/>
                          <w:sz w:val="28"/>
                        </w:rPr>
                        <w:t>　</w:t>
                      </w:r>
                      <w:r>
                        <w:rPr>
                          <w:rFonts w:hint="eastAsia" w:ascii="ＭＳ ゴシック" w:hAnsi="ＭＳ ゴシック" w:eastAsia="ＭＳ ゴシック"/>
                          <w:sz w:val="28"/>
                        </w:rPr>
                        <w:t>(</w:t>
                      </w:r>
                      <w:r>
                        <w:rPr>
                          <w:rFonts w:hint="eastAsia" w:ascii="ＭＳ ゴシック" w:hAnsi="ＭＳ ゴシック" w:eastAsia="ＭＳ ゴシック"/>
                          <w:sz w:val="28"/>
                        </w:rPr>
                        <w:t>２</w:t>
                      </w:r>
                      <w:r>
                        <w:rPr>
                          <w:rFonts w:hint="eastAsia" w:ascii="ＭＳ ゴシック" w:hAnsi="ＭＳ ゴシック" w:eastAsia="ＭＳ ゴシック"/>
                          <w:sz w:val="28"/>
                        </w:rPr>
                        <w:t>)</w:t>
                      </w:r>
                      <w:r>
                        <w:rPr>
                          <w:rFonts w:hint="eastAsia" w:ascii="ＭＳ ゴシック" w:hAnsi="ＭＳ ゴシック" w:eastAsia="ＭＳ ゴシック"/>
                          <w:sz w:val="28"/>
                        </w:rPr>
                        <w:t>　陸羽東線沿線の地域活性化に関すること。</w:t>
                      </w:r>
                    </w:p>
                    <w:p>
                      <w:pPr>
                        <w:pStyle w:val="0"/>
                        <w:spacing w:before="240" w:beforeLines="0" w:beforeAutospacing="0" w:after="240" w:afterLines="0" w:afterAutospacing="0" w:line="340" w:lineRule="exact"/>
                        <w:jc w:val="left"/>
                        <w:rPr>
                          <w:rFonts w:hint="eastAsia" w:ascii="ＭＳ ゴシック" w:hAnsi="ＭＳ ゴシック" w:eastAsia="ＭＳ ゴシック"/>
                          <w:sz w:val="28"/>
                        </w:rPr>
                      </w:pPr>
                      <w:r>
                        <w:rPr>
                          <w:rFonts w:hint="default" w:ascii="メイリオ" w:hAnsi="メイリオ" w:eastAsia="メイリオ"/>
                          <w:sz w:val="28"/>
                        </w:rPr>
                        <w:t>　</w:t>
                      </w:r>
                      <w:r>
                        <w:rPr>
                          <w:rFonts w:hint="eastAsia" w:ascii="ＭＳ ゴシック" w:hAnsi="ＭＳ ゴシック" w:eastAsia="ＭＳ ゴシック"/>
                          <w:sz w:val="28"/>
                        </w:rPr>
                        <w:t>(</w:t>
                      </w:r>
                      <w:r>
                        <w:rPr>
                          <w:rFonts w:hint="eastAsia" w:ascii="ＭＳ ゴシック" w:hAnsi="ＭＳ ゴシック" w:eastAsia="ＭＳ ゴシック"/>
                          <w:sz w:val="28"/>
                        </w:rPr>
                        <w:t>３</w:t>
                      </w:r>
                      <w:r>
                        <w:rPr>
                          <w:rFonts w:hint="eastAsia" w:ascii="ＭＳ ゴシック" w:hAnsi="ＭＳ ゴシック" w:eastAsia="ＭＳ ゴシック"/>
                          <w:sz w:val="28"/>
                        </w:rPr>
                        <w:t>)</w:t>
                      </w:r>
                      <w:r>
                        <w:rPr>
                          <w:rFonts w:hint="eastAsia" w:ascii="ＭＳ ゴシック" w:hAnsi="ＭＳ ゴシック" w:eastAsia="ＭＳ ゴシック"/>
                          <w:sz w:val="28"/>
                        </w:rPr>
                        <w:t>　庁内及び関係機関相互の調整に関すること。</w:t>
                      </w:r>
                      <w:r>
                        <w:rPr>
                          <w:rFonts w:hint="eastAsia" w:ascii="ＭＳ ゴシック" w:hAnsi="ＭＳ ゴシック" w:eastAsia="ＭＳ ゴシック"/>
                          <w:sz w:val="28"/>
                        </w:rPr>
                        <w:t xml:space="preserve"> </w:t>
                      </w:r>
                    </w:p>
                    <w:p>
                      <w:pPr>
                        <w:pStyle w:val="0"/>
                        <w:spacing w:before="240" w:beforeLines="0" w:beforeAutospacing="0" w:after="240" w:afterLines="0" w:afterAutospacing="0" w:line="340" w:lineRule="exact"/>
                        <w:jc w:val="left"/>
                        <w:rPr>
                          <w:rFonts w:hint="eastAsia"/>
                        </w:rPr>
                      </w:pPr>
                      <w:r>
                        <w:rPr>
                          <w:rFonts w:hint="eastAsia" w:ascii="ＭＳ ゴシック" w:hAnsi="ＭＳ ゴシック" w:eastAsia="ＭＳ ゴシック"/>
                          <w:sz w:val="28"/>
                        </w:rPr>
                        <w:t>　</w:t>
                      </w:r>
                      <w:r>
                        <w:rPr>
                          <w:rFonts w:hint="eastAsia" w:ascii="ＭＳ ゴシック" w:hAnsi="ＭＳ ゴシック" w:eastAsia="ＭＳ ゴシック"/>
                          <w:sz w:val="28"/>
                        </w:rPr>
                        <w:t>(</w:t>
                      </w:r>
                      <w:r>
                        <w:rPr>
                          <w:rFonts w:hint="eastAsia" w:ascii="ＭＳ ゴシック" w:hAnsi="ＭＳ ゴシック" w:eastAsia="ＭＳ ゴシック"/>
                          <w:sz w:val="28"/>
                        </w:rPr>
                        <w:t>４</w:t>
                      </w:r>
                      <w:r>
                        <w:rPr>
                          <w:rFonts w:hint="eastAsia" w:ascii="ＭＳ ゴシック" w:hAnsi="ＭＳ ゴシック" w:eastAsia="ＭＳ ゴシック"/>
                          <w:sz w:val="28"/>
                        </w:rPr>
                        <w:t>)</w:t>
                      </w:r>
                      <w:r>
                        <w:rPr>
                          <w:rFonts w:hint="eastAsia" w:ascii="ＭＳ ゴシック" w:hAnsi="ＭＳ ゴシック" w:eastAsia="ＭＳ ゴシック"/>
                          <w:sz w:val="28"/>
                        </w:rPr>
                        <w:t>　前３号に掲げるもののほか，検討会議が必要と認める事項に関すること。</w:t>
                      </w:r>
                    </w:p>
                    <w:p>
                      <w:pPr>
                        <w:pStyle w:val="0"/>
                        <w:rPr>
                          <w:rFonts w:hint="eastAsia"/>
                        </w:rPr>
                      </w:pPr>
                    </w:p>
                  </w:txbxContent>
                </v:textbox>
                <v:imagedata o:title=""/>
                <w10:wrap type="none" anchorx="text" anchory="text"/>
              </v:shape>
            </w:pict>
          </mc:Fallback>
        </mc:AlternateContent>
      </w:r>
    </w:p>
    <w:p>
      <w:pPr>
        <w:pStyle w:val="0"/>
        <w:rPr>
          <w:rFonts w:hint="eastAsia"/>
        </w:rPr>
      </w:pPr>
    </w:p>
    <w:p>
      <w:pPr>
        <w:pStyle w:val="0"/>
        <w:rPr>
          <w:rFonts w:hint="eastAsia"/>
        </w:rPr>
      </w:pPr>
    </w:p>
    <w:p>
      <w:pPr>
        <w:pStyle w:val="0"/>
        <w:rPr>
          <w:rFonts w:hint="eastAsia"/>
        </w:rPr>
      </w:pPr>
    </w:p>
    <w:p>
      <w:pPr>
        <w:pStyle w:val="0"/>
        <w:rPr>
          <w:rFonts w:hint="eastAsia"/>
        </w:rPr>
      </w:pPr>
    </w:p>
    <w:sectPr>
      <w:pgSz w:w="16838" w:h="11906" w:orient="landscape"/>
      <w:pgMar w:top="1417" w:right="1134" w:bottom="1134"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 w:name="メイリオ">
    <w:panose1 w:val="000008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Meiryo UI">
    <w:panose1 w:val="00000800000000000000"/>
    <w:charset w:val="80"/>
    <w:family w:val="modern"/>
    <w:notTrueType/>
    <w:pitch w:val="variable"/>
    <w:sig w:usb0="00000000" w:usb1="00000000" w:usb2="00000000" w:usb3="00000000" w:csb0="01008200" w:csb1="00000000"/>
  </w:font>
  <w:font w:name="HGS行書体">
    <w:panose1 w:val="00000000000000000000"/>
    <w:charset w:val="80"/>
    <w:family w:val="script"/>
    <w:notTrueType/>
    <w:pitch w:val="variable"/>
    <w:sig w:usb0="00000000" w:usb1="00000000" w:usb2="00000000" w:usb3="00000000" w:csb0="01008200" w:csb1="00000000"/>
  </w:font>
  <w:font w:name="HGS行書体">
    <w:panose1 w:val="00000800000000000000"/>
    <w:charset w:val="80"/>
    <w:family w:val="script"/>
    <w:notTrueType/>
    <w:pitch w:val="variable"/>
    <w:sig w:usb0="00000000" w:usb1="00000000" w:usb2="00000000" w:usb3="00000000" w:csb0="01008200" w:csb1="00000000"/>
  </w:font>
  <w:font w:name="HGS創英ﾌﾟﾚｾﾞﾝｽEB">
    <w:panose1 w:val="00000000000000000000"/>
    <w:charset w:val="80"/>
    <w:family w:val="roman"/>
    <w:notTrueType/>
    <w:pitch w:val="variable"/>
    <w:sig w:usb0="00000000" w:usb1="00000000" w:usb2="00000000" w:usb3="00000000" w:csb0="01008200" w:csb1="00000000"/>
  </w:font>
  <w:font w:name="HGS創英ﾌﾟﾚｾﾞﾝｽEB">
    <w:panose1 w:val="00000800000000000000"/>
    <w:charset w:val="80"/>
    <w:family w:val="roman"/>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 w:name="HGS創英角ｺﾞｼｯｸUB">
    <w:panose1 w:val="000008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MS UI Gothic">
    <w:panose1 w:val="000008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AR P教科書体M">
    <w:panose1 w:val="00000800000000000000"/>
    <w:charset w:val="80"/>
    <w:family w:val="script"/>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Yu Gothic UI Semibold">
    <w:panose1 w:val="00000000000000000000"/>
    <w:charset w:val="80"/>
    <w:family w:val="modern"/>
    <w:notTrueType/>
    <w:pitch w:val="variable"/>
    <w:sig w:usb0="00000000" w:usb1="00000000" w:usb2="00000000" w:usb3="00000000" w:csb0="01008200" w:csb1="00000000"/>
  </w:font>
  <w:font w:name="Yu Gothic UI Semilight">
    <w:panose1 w:val="00000000000000000000"/>
    <w:charset w:val="80"/>
    <w:family w:val="modern"/>
    <w:notTrueType/>
    <w:pitch w:val="variable"/>
    <w:sig w:usb0="00000000" w:usb1="00000000" w:usb2="00000000" w:usb3="00000000" w:csb0="01008200" w:csb1="00000000"/>
  </w:font>
  <w:font w:name="游ゴシック Medium">
    <w:panose1 w:val="00000000000000000000"/>
    <w:charset w:val="80"/>
    <w:family w:val="modern"/>
    <w:notTrueType/>
    <w:pitch w:val="variable"/>
    <w:sig w:usb0="00000000" w:usb1="00000000" w:usb2="00000000" w:usb3="00000000" w:csb0="01008200" w:csb1="00000000"/>
  </w:font>
  <w:font w:name="Malgun Gothic Semilight">
    <w:panose1 w:val="00000000000000000000"/>
    <w:charset w:val="80"/>
    <w:family w:val="modern"/>
    <w:notTrueType/>
    <w:pitch w:val="variable"/>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83</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安藤豊</dc:creator>
  <cp:lastModifiedBy>安藤豊</cp:lastModifiedBy>
  <dcterms:created xsi:type="dcterms:W3CDTF">2023-08-19T05:39:00Z</dcterms:created>
  <dcterms:modified xsi:type="dcterms:W3CDTF">2023-08-19T05:39:00Z</dcterms:modified>
  <cp:revision>0</cp:revision>
</cp:coreProperties>
</file>