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b w:val="1"/>
          <w:sz w:val="24"/>
        </w:rPr>
        <w:t>ウェブサイト掲載に必要な掲示事項について</w:t>
      </w:r>
    </w:p>
    <w:p>
      <w:pPr>
        <w:pStyle w:val="0"/>
        <w:rPr>
          <w:rFonts w:hint="eastAsia"/>
        </w:rPr>
      </w:pPr>
      <w:bookmarkStart w:id="0" w:name="_GoBack"/>
      <w:bookmarkEnd w:id="0"/>
    </w:p>
    <w:p>
      <w:pPr>
        <w:pStyle w:val="0"/>
        <w:ind w:firstLine="210" w:firstLineChars="100"/>
        <w:rPr>
          <w:rFonts w:hint="eastAsia"/>
        </w:rPr>
      </w:pPr>
      <w:r>
        <w:rPr>
          <w:rFonts w:hint="eastAsia"/>
        </w:rPr>
        <w:t>令和６年度診療報酬改定により，施設基準等で定められている保険医療機関の掲載事項について原則ウェブサイトに掲載することとなりました。</w:t>
      </w:r>
    </w:p>
    <w:p>
      <w:pPr>
        <w:pStyle w:val="0"/>
        <w:rPr>
          <w:rFonts w:hint="eastAsia"/>
        </w:rPr>
      </w:pPr>
    </w:p>
    <w:p>
      <w:pPr>
        <w:pStyle w:val="0"/>
        <w:ind w:left="0" w:leftChars="0" w:hanging="210" w:hangingChars="100"/>
        <w:rPr>
          <w:rFonts w:hint="eastAsia"/>
        </w:rPr>
      </w:pPr>
      <w:r>
        <w:rPr>
          <w:rFonts w:hint="eastAsia"/>
        </w:rPr>
        <w:t>１．大崎市夜間急患センターは，厚生労働大臣の定める基準に基づいて診療を行っている医療機関です。</w:t>
      </w:r>
    </w:p>
    <w:p>
      <w:pPr>
        <w:pStyle w:val="0"/>
        <w:ind w:leftChars="0" w:firstLineChars="0"/>
        <w:rPr>
          <w:rFonts w:hint="eastAsia"/>
        </w:rPr>
      </w:pPr>
    </w:p>
    <w:p>
      <w:pPr>
        <w:pStyle w:val="0"/>
        <w:ind w:leftChars="0" w:firstLineChars="0"/>
        <w:rPr>
          <w:rFonts w:hint="eastAsia"/>
        </w:rPr>
      </w:pPr>
      <w:r>
        <w:rPr>
          <w:rFonts w:hint="eastAsia"/>
        </w:rPr>
        <w:t>２．東北厚生局長への届出事項に関する事項</w:t>
      </w:r>
    </w:p>
    <w:p>
      <w:pPr>
        <w:pStyle w:val="0"/>
        <w:rPr>
          <w:rFonts w:hint="eastAsia"/>
        </w:rPr>
      </w:pPr>
      <w:r>
        <w:rPr>
          <w:rFonts w:hint="eastAsia"/>
        </w:rPr>
        <w:t>（１）電子的診療情報連携体制整備加算</w:t>
      </w:r>
      <w:r>
        <w:rPr>
          <w:rFonts w:hint="eastAsia"/>
        </w:rPr>
        <w:t>3</w:t>
      </w:r>
    </w:p>
    <w:p>
      <w:pPr>
        <w:pStyle w:val="0"/>
        <w:ind w:left="630" w:leftChars="300" w:firstLine="210" w:firstLineChars="100"/>
        <w:rPr>
          <w:rFonts w:hint="eastAsia"/>
        </w:rPr>
      </w:pPr>
      <w:r>
        <w:rPr>
          <w:rFonts w:hint="eastAsia"/>
        </w:rPr>
        <w:t>オンライン請求を行っております。オンライン資格確認を行う体制を有し，オンライン資格確認を利用して取得した薬剤情報や特定健診情報等を活用できる体制を有しております。</w:t>
      </w:r>
    </w:p>
    <w:p>
      <w:pPr>
        <w:pStyle w:val="0"/>
        <w:ind w:left="630" w:leftChars="300" w:firstLine="210" w:firstLineChars="100"/>
        <w:rPr>
          <w:rFonts w:hint="eastAsia"/>
        </w:rPr>
      </w:pPr>
    </w:p>
    <w:p>
      <w:pPr>
        <w:pStyle w:val="0"/>
        <w:rPr>
          <w:rFonts w:hint="eastAsia"/>
        </w:rPr>
      </w:pPr>
      <w:r>
        <w:rPr>
          <w:rFonts w:hint="eastAsia"/>
        </w:rPr>
        <w:t>（２）外来・在宅ベースアップ評価料（Ⅰ）に関する事項</w:t>
      </w:r>
    </w:p>
    <w:p>
      <w:pPr>
        <w:pStyle w:val="0"/>
        <w:ind w:left="630" w:leftChars="300" w:firstLine="210" w:firstLineChars="100"/>
        <w:rPr>
          <w:rFonts w:hint="eastAsia"/>
        </w:rPr>
      </w:pPr>
      <w:r>
        <w:rPr>
          <w:rFonts w:hint="eastAsia"/>
        </w:rPr>
        <w:t>医療従事者の適切な処遇改善（賃上げ）を実施し，より安心・安全な医療提供体制を維持するため，外来・在宅ベースアップ評価料（Ⅰ）を算定しています。</w:t>
      </w:r>
    </w:p>
    <w:p>
      <w:pPr>
        <w:pStyle w:val="0"/>
        <w:ind w:left="630" w:leftChars="300" w:firstLine="210" w:firstLineChars="100"/>
        <w:rPr>
          <w:rFonts w:hint="eastAsia"/>
        </w:rPr>
      </w:pPr>
    </w:p>
    <w:p>
      <w:pPr>
        <w:pStyle w:val="0"/>
        <w:ind w:leftChars="0" w:firstLine="0" w:firstLineChars="0"/>
        <w:rPr>
          <w:rFonts w:hint="eastAsia"/>
        </w:rPr>
      </w:pPr>
      <w:r>
        <w:rPr>
          <w:rFonts w:hint="eastAsia"/>
        </w:rPr>
        <w:t>（３）地域連携夜間・休日診療料</w:t>
      </w:r>
    </w:p>
    <w:p>
      <w:pPr>
        <w:pStyle w:val="0"/>
        <w:ind w:left="630" w:leftChars="300" w:firstLine="210" w:firstLineChars="100"/>
        <w:rPr>
          <w:rFonts w:hint="eastAsia"/>
        </w:rPr>
      </w:pPr>
      <w:r>
        <w:rPr>
          <w:rFonts w:hint="eastAsia"/>
        </w:rPr>
        <w:t>地域の夜間・休日における初期救急体制を維持するため，地域の他医療機関と連携した診療体制を整えています。</w:t>
      </w:r>
    </w:p>
    <w:p>
      <w:pPr>
        <w:pStyle w:val="0"/>
        <w:rPr>
          <w:rFonts w:hint="eastAsia"/>
        </w:rPr>
      </w:pPr>
    </w:p>
    <w:p>
      <w:pPr>
        <w:pStyle w:val="0"/>
        <w:rPr>
          <w:rFonts w:hint="eastAsia"/>
        </w:rPr>
      </w:pPr>
      <w:r>
        <w:rPr>
          <w:rFonts w:hint="eastAsia"/>
        </w:rPr>
        <w:t>（４）酸素の購入価格</w:t>
      </w:r>
    </w:p>
    <w:p>
      <w:pPr>
        <w:pStyle w:val="0"/>
        <w:ind w:left="630" w:leftChars="300" w:firstLine="210" w:firstLineChars="100"/>
        <w:rPr>
          <w:rFonts w:hint="eastAsia"/>
        </w:rPr>
      </w:pPr>
      <w:r>
        <w:rPr>
          <w:rFonts w:hint="eastAsia"/>
        </w:rPr>
        <w:t>当センターで使用する医療陽酸素は厚生労働大臣が定める基準に基づき算定しています。</w:t>
      </w:r>
    </w:p>
    <w:p>
      <w:pPr>
        <w:pStyle w:val="0"/>
        <w:rPr>
          <w:rFonts w:hint="eastAsia"/>
        </w:rPr>
      </w:pPr>
    </w:p>
    <w:p>
      <w:pPr>
        <w:pStyle w:val="0"/>
        <w:rPr>
          <w:rFonts w:hint="eastAsia"/>
        </w:rPr>
      </w:pPr>
      <w:r>
        <w:rPr>
          <w:rFonts w:hint="eastAsia"/>
        </w:rPr>
        <w:t>３．明細書発行体制について</w:t>
      </w:r>
    </w:p>
    <w:p>
      <w:pPr>
        <w:pStyle w:val="0"/>
        <w:ind w:left="420" w:leftChars="200" w:firstLine="210" w:firstLineChars="100"/>
        <w:rPr>
          <w:rFonts w:hint="eastAsia"/>
        </w:rPr>
      </w:pPr>
      <w:r>
        <w:rPr>
          <w:rFonts w:hint="eastAsia"/>
        </w:rPr>
        <w:t>当センターでは医療の透明化や患者への情報提供を積極的に推進していく観点から，領収証の発行の際に，個別の診療報酬の算定項目の分かる明細書を無料で発行しています。</w:t>
      </w:r>
    </w:p>
    <w:p>
      <w:pPr>
        <w:pStyle w:val="0"/>
        <w:ind w:left="420" w:leftChars="200" w:firstLine="210" w:firstLineChars="100"/>
        <w:rPr>
          <w:rFonts w:hint="eastAsia"/>
        </w:rPr>
      </w:pPr>
      <w:r>
        <w:rPr>
          <w:rFonts w:hint="eastAsia"/>
        </w:rPr>
        <w:t>明細書には，使用した薬剤の名称や行われた検査の名称が記載されるものですので，その点をご理解いただき，明細書の発行を希望されない方は，会計窓口にてその旨をお申し出ください。</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433</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大沼淳子</dc:creator>
  <cp:lastModifiedBy>大沼淳子</cp:lastModifiedBy>
  <cp:lastPrinted>2026-05-29T09:01:15Z</cp:lastPrinted>
  <dcterms:created xsi:type="dcterms:W3CDTF">2026-05-28T06:56:00Z</dcterms:created>
  <dcterms:modified xsi:type="dcterms:W3CDTF">2026-05-29T09:03:17Z</dcterms:modified>
  <cp:revision>5</cp:revision>
</cp:coreProperties>
</file>