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400" w:hRule="atLeast"/>
        </w:trPr>
        <w:tc>
          <w:tcPr>
            <w:tcW w:w="9918"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305"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154"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06"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様式第５－（ロ）－②</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中小企業信用保険法第２条第５項第５号の規定による認定申請書（ロ－②）</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284" w:rightChars="135"/>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right="284" w:rightChars="135"/>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right="284" w:rightChars="135"/>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ind w:right="487" w:rightChars="23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60" w:lineRule="auto"/>
              <w:ind w:right="487" w:rightChars="23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原油等の仕入単価の上昇（注２）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指定業種に係る上昇率</w:t>
            </w:r>
            <w:r>
              <w:rPr>
                <w:rFonts w:hint="default" w:ascii="ＭＳ ゴシック" w:hAnsi="ＭＳ ゴシック" w:eastAsia="ＭＳ ゴシック"/>
                <w:color w:val="000000"/>
                <w:kern w:val="0"/>
                <w:u w:val="single" w:color="auto"/>
              </w:rPr>
              <w:softHyphen/>
            </w:r>
            <w:r>
              <w:rPr>
                <w:rFonts w:hint="default" w:ascii="ＭＳ ゴシック" w:hAnsi="ＭＳ ゴシック" w:eastAsia="ＭＳ ゴシック"/>
                <w:color w:val="000000"/>
                <w:kern w:val="0"/>
                <w:u w:val="single" w:color="auto"/>
              </w:rPr>
              <w:softHyphen/>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Ｅ：原油等の最近１か月間における平均仕入れ単価</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　　　円</w:t>
            </w:r>
          </w:p>
          <w:p>
            <w:pPr>
              <w:pStyle w:val="0"/>
              <w:suppressAutoHyphens w:val="1"/>
              <w:kinsoku w:val="0"/>
              <w:overflowPunct w:val="0"/>
              <w:autoSpaceDE w:val="0"/>
              <w:autoSpaceDN w:val="0"/>
              <w:adjustRightInd w:val="0"/>
              <w:spacing w:line="240" w:lineRule="exact"/>
              <w:ind w:left="63" w:leftChars="30"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ｅ：Ｅの期間に対応する前年１か月間の平均仕入れ単価</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指定業種に係る平均仕入単価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　円</w:t>
            </w:r>
          </w:p>
          <w:p>
            <w:pPr>
              <w:pStyle w:val="0"/>
              <w:suppressAutoHyphens w:val="1"/>
              <w:kinsoku w:val="0"/>
              <w:overflowPunct w:val="0"/>
              <w:autoSpaceDE w:val="0"/>
              <w:autoSpaceDN w:val="0"/>
              <w:adjustRightInd w:val="0"/>
              <w:spacing w:line="240" w:lineRule="exact"/>
              <w:ind w:firstLine="605" w:firstLineChars="25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年　　　月）</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原油等が売上原価に占める割合（注２）</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Ｓ</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指定業種に係る依存率</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全体に係る依存率</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ind w:left="182" w:firstLine="210" w:firstLineChars="1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最近１か月間における全体の売上原価に占める指定業種の売上原価の割合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指定業種に係る売上原価</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全体にかかる売上原価</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Ｓ：Ｃの売上原価に対応する原油等の仕入額</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全体に係る仕入額</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24"/>
              <w:numPr>
                <w:ilvl w:val="0"/>
                <w:numId w:val="1"/>
              </w:numPr>
              <w:suppressAutoHyphens w:val="1"/>
              <w:kinsoku w:val="0"/>
              <w:wordWrap w:val="0"/>
              <w:overflowPunct w:val="0"/>
              <w:autoSpaceDE w:val="0"/>
              <w:autoSpaceDN w:val="0"/>
              <w:adjustRightInd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製品等価格への転嫁の状況（注３）</w:t>
            </w:r>
          </w:p>
          <w:p>
            <w:pPr>
              <w:pStyle w:val="0"/>
              <w:tabs>
                <w:tab w:val="center" w:leader="none" w:pos="4252"/>
                <w:tab w:val="right" w:leader="none" w:pos="8504"/>
              </w:tabs>
              <w:suppressAutoHyphens w:val="1"/>
              <w:kinsoku w:val="0"/>
              <w:overflowPunct w:val="0"/>
              <w:autoSpaceDE w:val="0"/>
              <w:autoSpaceDN w:val="0"/>
              <w:adjustRightInd w:val="0"/>
              <w:snapToGrid w:val="0"/>
              <w:spacing w:line="230" w:lineRule="exac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指定業種に係る転嫁の状況　Ｐ＝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全体に係る転嫁の状況</w:t>
            </w:r>
            <w:r>
              <w:rPr>
                <w:rFonts w:hint="eastAsia" w:ascii="ＭＳ ゴシック" w:hAnsi="ＭＳ ゴシック" w:eastAsia="ＭＳ ゴシック"/>
                <w:color w:val="000000"/>
                <w:kern w:val="0"/>
                <w:u w:val="single" w:color="000000"/>
              </w:rPr>
              <w:t>　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指定業種に係る仕入額</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ａ：Ａの期間に対応する前年３か月間の原油等の仕入額　</w:t>
            </w:r>
            <w:r>
              <w:rPr>
                <w:rFonts w:hint="eastAsia" w:ascii="ＭＳ ゴシック" w:hAnsi="ＭＳ ゴシック" w:eastAsia="ＭＳ ゴシック"/>
                <w:color w:val="000000"/>
                <w:spacing w:val="16"/>
                <w:kern w:val="0"/>
                <w:u w:val="single" w:color="auto"/>
              </w:rPr>
              <w:t>指定業種に係る仕入額　</w:t>
            </w:r>
            <w:r>
              <w:rPr>
                <w:rFonts w:hint="eastAsia"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spacing w:val="16"/>
                <w:kern w:val="0"/>
                <w:u w:val="single" w:color="auto"/>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全体に係る仕入額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指定業種に係る売上高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auto"/>
              </w:rPr>
              <w:t xml:space="preserve"> </w:t>
            </w:r>
            <w:r>
              <w:rPr>
                <w:rFonts w:hint="default"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　ｂ：Ｂの期間に対応する前年３か月間の売上高</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指定業種に係る売上高</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　　　年　　　月　　～　　　年　　　月）　　　</w:t>
            </w:r>
            <w:r>
              <w:rPr>
                <w:rFonts w:hint="eastAsia" w:ascii="ＭＳ ゴシック" w:hAnsi="ＭＳ ゴシック" w:eastAsia="ＭＳ ゴシック"/>
                <w:color w:val="000000"/>
                <w:kern w:val="0"/>
                <w:u w:val="single" w:color="auto"/>
              </w:rPr>
              <w:t>全体に係る売上高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p>
          <w:p>
            <w:pPr>
              <w:pStyle w:val="0"/>
              <w:tabs>
                <w:tab w:val="center" w:leader="none" w:pos="4252"/>
                <w:tab w:val="right" w:leader="none" w:pos="8504"/>
              </w:tabs>
              <w:suppressAutoHyphens w:val="1"/>
              <w:kinsoku w:val="0"/>
              <w:wordWrap w:val="0"/>
              <w:overflowPunct w:val="0"/>
              <w:autoSpaceDE w:val="0"/>
              <w:autoSpaceDN w:val="0"/>
              <w:adjustRightInd w:val="0"/>
              <w:snapToGrid w:val="0"/>
              <w:spacing w:line="240" w:lineRule="exact"/>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105" w:tblpY="63"/>
        <w:tblOverlap w:val="never"/>
        <w:tblW w:w="100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070"/>
      </w:tblGrid>
      <w:tr>
        <w:trPr>
          <w:trHeight w:val="1766" w:hRule="atLeast"/>
        </w:trPr>
        <w:tc>
          <w:tcPr>
            <w:tcW w:w="10070"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tc>
      </w:tr>
    </w:tbl>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（注１）本様式は、指定業種と非指定業種を兼業している場合であって、指定業種及び申請者全体の双方が認定基準を満たす場合に使用する。</w:t>
      </w:r>
    </w:p>
    <w:p>
      <w:pPr>
        <w:pStyle w:val="0"/>
        <w:suppressAutoHyphens w:val="1"/>
        <w:spacing w:line="240" w:lineRule="exact"/>
        <w:ind w:left="840" w:hanging="840" w:hanging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（注２）上昇率、依存率及び最近１か月間における全体の売上原価に占める指定業種の売上原価の割合が２０％以上となっていること。</w:t>
      </w:r>
    </w:p>
    <w:p>
      <w:pPr>
        <w:pStyle w:val="0"/>
        <w:suppressAutoHyphens w:val="1"/>
        <w:spacing w:line="240" w:lineRule="exact"/>
        <w:ind w:left="18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rPr>
        <w:t xml:space="preserve"> </w:t>
      </w:r>
      <w:r>
        <w:rPr>
          <w:rFonts w:hint="default"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rPr>
        <w:t>（注３）Ｐ＞０となっていること。</w:t>
      </w:r>
    </w:p>
    <w:p>
      <w:pPr>
        <w:pStyle w:val="0"/>
        <w:suppressAutoHyphens w:val="1"/>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2"/>
        </w:numPr>
        <w:suppressAutoHyphens w:val="1"/>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044" w:hanging="862"/>
        <w:jc w:val="left"/>
        <w:textAlignment w:val="baseline"/>
        <w:rPr>
          <w:rFonts w:hint="default" w:ascii="ＭＳ ゴシック" w:hAnsi="ＭＳ ゴシック" w:eastAsia="ＭＳ ゴシック"/>
        </w:rPr>
        <w:sectPr>
          <w:pgSz w:w="11906" w:h="16838"/>
          <w:pgMar w:top="567" w:right="1134" w:bottom="567" w:left="1134" w:header="851" w:footer="736" w:gutter="0"/>
          <w:cols w:space="720"/>
          <w:textDirection w:val="lrTb"/>
          <w:docGrid w:linePitch="360"/>
        </w:sectPr>
      </w:pPr>
      <w:bookmarkStart w:id="0" w:name="_GoBack"/>
      <w:bookmarkEnd w:id="0"/>
    </w:p>
    <w:p>
      <w:pPr>
        <w:pStyle w:val="0"/>
        <w:rPr>
          <w:rFonts w:hint="default" w:ascii="ＭＳ ゴシック" w:hAnsi="ＭＳ ゴシック" w:eastAsia="ＭＳ ゴシック"/>
          <w:color w:val="000000"/>
          <w:spacing w:val="-10"/>
          <w:kern w:val="0"/>
        </w:rPr>
      </w:pPr>
    </w:p>
    <w:sectPr>
      <w:footerReference r:id="rId6" w:type="default"/>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760CAC4"/>
    <w:lvl w:ilvl="0" w:tplc="4E50DD9A">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0B8A1716"/>
    <w:lvl w:ilvl="0" w:tplc="1BD07566">
      <w:start w:val="1"/>
      <w:numFmt w:val="decimalEnclosedCircle"/>
      <w:lvlText w:val="%1"/>
      <w:lvlJc w:val="left"/>
      <w:pPr>
        <w:ind w:left="570" w:hanging="360"/>
      </w:pPr>
      <w:rPr>
        <w:rFonts w:ascii="ＭＳ ゴシック" w:hAnsi="ＭＳ ゴシック" w:eastAsia="ＭＳ ゴシック"/>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3</Pages>
  <Words>3</Words>
  <Characters>1129</Characters>
  <Application>JUST Note</Application>
  <Lines>87</Lines>
  <Paragraphs>51</Paragraphs>
  <CharactersWithSpaces>2049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2024-11-28T06:24:29Z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