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大崎市長　伊　藤　康　志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after="0" w:afterLines="0" w:afterAutospacing="0"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after="0" w:afterLines="0" w:afterAutospacing="0"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after="0" w:afterLines="0" w:afterAutospacing="0"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私は，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の発生に起因して，下記のとおり，経営の安定に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03" w:rightChars="192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支障が生じておりますので，中小企業信用保険法第２条第５項第４号の規定に基づき認定されるようお願いします。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売上高等が減少し，又は減少すると見込まれる理由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tbl>
      <w:tblPr>
        <w:tblStyle w:val="44"/>
        <w:tblW w:w="0" w:type="auto"/>
        <w:tblInd w:w="70" w:type="dxa"/>
        <w:tblLayout w:type="fixed"/>
        <w:tblLook w:firstRow="1" w:lastRow="0" w:firstColumn="1" w:lastColumn="0" w:noHBand="0" w:noVBand="1" w:val="04A0"/>
      </w:tblPr>
      <w:tblGrid>
        <w:gridCol w:w="8484"/>
      </w:tblGrid>
      <w:tr>
        <w:trPr>
          <w:trHeight w:val="2195" w:hRule="atLeast"/>
        </w:trPr>
        <w:tc>
          <w:tcPr>
            <w:tcW w:w="8484" w:type="dxa"/>
            <w:vAlign w:val="top"/>
          </w:tcPr>
          <w:p>
            <w:pPr>
              <w:pStyle w:val="0"/>
              <w:spacing w:before="180" w:beforeLines="50" w:beforeAutospacing="0"/>
              <w:ind w:firstLine="210" w:firstLineChars="10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　　　　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令和　　年　　月　　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申請のとおり，相違ないことを認定します。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　　　　　　　　大崎市長　伊　藤　康　志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（注）本認定書の有効期間：令和　　年　　月　　日から令和　　年　　月　　日まで</w:t>
            </w: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○○○には，「災害その他突発的に生じた事由」を入れる。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本認定とは別に，金融機関及び信用保証協会による金融上の審査があります。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市町村長から認定を受けた後，本認定の有効期間内に金融機関又は信用保証協会に対して，経営安定関連保証の申込みを行うことが必要です。</w:t>
      </w:r>
      <w:bookmarkStart w:id="0" w:name="_GoBack"/>
      <w:bookmarkEnd w:id="0"/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（シンプル 1）"/>
    <w:basedOn w:val="11"/>
    <w:next w:val="4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6</Pages>
  <Words>17</Words>
  <Characters>3356</Characters>
  <Application>JUST Note</Application>
  <Lines>1012</Lines>
  <Paragraphs>190</Paragraphs>
  <CharactersWithSpaces>6447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湯山栄大</cp:lastModifiedBy>
  <cp:lastPrinted>2023-09-25T07:54:42Z</cp:lastPrinted>
  <dcterms:modified xsi:type="dcterms:W3CDTF">2023-09-25T08:02:33Z</dcterms:modified>
  <cp:revision>8</cp:revision>
</cp:coreProperties>
</file>