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072BBF" w:rsidP="00AF37E7">
      <w:pPr>
        <w:rPr>
          <w:b/>
          <w:sz w:val="28"/>
          <w:szCs w:val="28"/>
        </w:rPr>
      </w:pPr>
      <w:r>
        <w:rPr>
          <w:rFonts w:hint="eastAsia"/>
          <w:b/>
          <w:sz w:val="28"/>
          <w:szCs w:val="28"/>
        </w:rPr>
        <w:t>催し</w:t>
      </w:r>
    </w:p>
    <w:p w:rsidR="00893E1F" w:rsidRDefault="00893E1F" w:rsidP="00AF37E7">
      <w:pPr>
        <w:rPr>
          <w:rFonts w:hint="eastAsia"/>
        </w:rPr>
      </w:pPr>
    </w:p>
    <w:p w:rsidR="00917F35" w:rsidRDefault="00917F35" w:rsidP="00917F35"/>
    <w:p w:rsidR="00917F35" w:rsidRPr="00917F35" w:rsidRDefault="00917F35" w:rsidP="00917F35">
      <w:pPr>
        <w:rPr>
          <w:b/>
          <w:u w:val="single"/>
        </w:rPr>
      </w:pPr>
      <w:bookmarkStart w:id="0" w:name="_GoBack"/>
      <w:r w:rsidRPr="00917F35">
        <w:rPr>
          <w:rFonts w:hint="eastAsia"/>
          <w:b/>
          <w:u w:val="single"/>
        </w:rPr>
        <w:t>●</w:t>
      </w:r>
      <w:r w:rsidRPr="00917F35">
        <w:rPr>
          <w:rFonts w:hint="eastAsia"/>
          <w:b/>
          <w:u w:val="single"/>
        </w:rPr>
        <w:t>国民年金保険料の後納制度</w:t>
      </w:r>
    </w:p>
    <w:bookmarkEnd w:id="0"/>
    <w:p w:rsidR="00917F35" w:rsidRDefault="00917F35" w:rsidP="00917F35">
      <w:pPr>
        <w:rPr>
          <w:rFonts w:hint="eastAsia"/>
        </w:rPr>
      </w:pPr>
      <w:r>
        <w:rPr>
          <w:rFonts w:hint="eastAsia"/>
        </w:rPr>
        <w:t xml:space="preserve">　過去</w:t>
      </w:r>
      <w:r>
        <w:rPr>
          <w:rFonts w:hint="eastAsia"/>
        </w:rPr>
        <w:t>5</w:t>
      </w:r>
      <w:r>
        <w:rPr>
          <w:rFonts w:hint="eastAsia"/>
        </w:rPr>
        <w:t>年以内に納め忘れた国民年金保険料を納めることができます。</w:t>
      </w:r>
    </w:p>
    <w:p w:rsidR="00917F35" w:rsidRDefault="00917F35" w:rsidP="00917F35">
      <w:pPr>
        <w:rPr>
          <w:rFonts w:hint="eastAsia"/>
        </w:rPr>
      </w:pPr>
      <w:r>
        <w:rPr>
          <w:rFonts w:hint="eastAsia"/>
        </w:rPr>
        <w:t xml:space="preserve">　後納制度を利用することで、年金額が増えたり、納付した期間が不足して年金を受給できなかった人が受給資格を得られる場合があります。</w:t>
      </w:r>
    </w:p>
    <w:p w:rsidR="00917F35" w:rsidRDefault="00917F35" w:rsidP="00917F35">
      <w:pPr>
        <w:rPr>
          <w:rFonts w:hint="eastAsia"/>
        </w:rPr>
      </w:pPr>
      <w:r>
        <w:rPr>
          <w:rFonts w:hint="eastAsia"/>
        </w:rPr>
        <w:t xml:space="preserve">　なお、老齢基礎年金を受給している人や</w:t>
      </w:r>
      <w:r>
        <w:rPr>
          <w:rFonts w:hint="eastAsia"/>
        </w:rPr>
        <w:t>65</w:t>
      </w:r>
      <w:r>
        <w:rPr>
          <w:rFonts w:hint="eastAsia"/>
        </w:rPr>
        <w:t>歳以上で受給資格のある人は、利用できません。</w:t>
      </w:r>
    </w:p>
    <w:p w:rsidR="00917F35" w:rsidRDefault="00917F35" w:rsidP="00917F35">
      <w:pPr>
        <w:rPr>
          <w:rFonts w:hint="eastAsia"/>
        </w:rPr>
      </w:pPr>
      <w:r>
        <w:rPr>
          <w:rFonts w:hint="eastAsia"/>
        </w:rPr>
        <w:t xml:space="preserve">　後納制度の利用は申し込みが必要です。詳しくはお問い合わせください。</w:t>
      </w:r>
    </w:p>
    <w:p w:rsidR="00917F35" w:rsidRDefault="00917F35" w:rsidP="00917F35">
      <w:pPr>
        <w:rPr>
          <w:rFonts w:hint="eastAsia"/>
        </w:rPr>
      </w:pPr>
      <w:r>
        <w:rPr>
          <w:rFonts w:hint="eastAsia"/>
        </w:rPr>
        <w:t>利用期限　平成</w:t>
      </w:r>
      <w:r>
        <w:rPr>
          <w:rFonts w:hint="eastAsia"/>
        </w:rPr>
        <w:t>30</w:t>
      </w:r>
      <w:r>
        <w:rPr>
          <w:rFonts w:hint="eastAsia"/>
        </w:rPr>
        <w:t>年</w:t>
      </w:r>
      <w:r>
        <w:rPr>
          <w:rFonts w:hint="eastAsia"/>
        </w:rPr>
        <w:t>9</w:t>
      </w:r>
      <w:r>
        <w:rPr>
          <w:rFonts w:hint="eastAsia"/>
        </w:rPr>
        <w:t>月まで</w:t>
      </w:r>
    </w:p>
    <w:p w:rsidR="00917F35" w:rsidRDefault="00917F35" w:rsidP="00917F35">
      <w:pPr>
        <w:rPr>
          <w:rFonts w:hint="eastAsia"/>
        </w:rPr>
      </w:pPr>
      <w:r>
        <w:rPr>
          <w:rFonts w:hint="eastAsia"/>
        </w:rPr>
        <w:t>問合せ先　ねんきん加入者ダイヤル（</w:t>
      </w:r>
      <w:r>
        <w:rPr>
          <w:rFonts w:hint="eastAsia"/>
        </w:rPr>
        <w:t>0570-003-004</w:t>
      </w:r>
      <w:r>
        <w:rPr>
          <w:rFonts w:hint="eastAsia"/>
        </w:rPr>
        <w:t>）</w:t>
      </w:r>
    </w:p>
    <w:p w:rsidR="00917F35" w:rsidRDefault="00917F35" w:rsidP="00917F35">
      <w:pPr>
        <w:rPr>
          <w:rFonts w:hint="eastAsia"/>
        </w:rPr>
      </w:pPr>
      <w:r>
        <w:rPr>
          <w:rFonts w:hint="eastAsia"/>
        </w:rPr>
        <w:t>古川年金事務所</w:t>
      </w:r>
      <w:r>
        <w:rPr>
          <w:rFonts w:hint="eastAsia"/>
        </w:rPr>
        <w:t xml:space="preserve">  23-1200</w:t>
      </w:r>
      <w:r>
        <w:rPr>
          <w:rFonts w:hint="eastAsia"/>
        </w:rPr>
        <w:t xml:space="preserve">　</w:t>
      </w:r>
      <w:r>
        <w:rPr>
          <w:rFonts w:hint="eastAsia"/>
        </w:rPr>
        <w:t xml:space="preserve"> </w:t>
      </w:r>
      <w:r>
        <w:rPr>
          <w:rFonts w:hint="eastAsia"/>
        </w:rPr>
        <w:t>市民課年金係</w:t>
      </w:r>
      <w:r>
        <w:rPr>
          <w:rFonts w:hint="eastAsia"/>
        </w:rPr>
        <w:t xml:space="preserve">  23-6079</w:t>
      </w:r>
    </w:p>
    <w:p w:rsidR="00917F35" w:rsidRDefault="00917F35" w:rsidP="00AF37E7">
      <w:pPr>
        <w:rPr>
          <w:rFonts w:hint="eastAsia"/>
        </w:rPr>
      </w:pPr>
    </w:p>
    <w:p w:rsidR="00917F35" w:rsidRDefault="00917F35" w:rsidP="00AF37E7">
      <w:pPr>
        <w:rPr>
          <w:rFonts w:hint="eastAsia"/>
        </w:rPr>
      </w:pPr>
    </w:p>
    <w:p w:rsidR="00917F35" w:rsidRPr="00893E1F" w:rsidRDefault="00917F35" w:rsidP="00917F35">
      <w:pPr>
        <w:rPr>
          <w:b/>
          <w:sz w:val="28"/>
          <w:szCs w:val="28"/>
        </w:rPr>
      </w:pPr>
      <w:r>
        <w:rPr>
          <w:rFonts w:hint="eastAsia"/>
          <w:b/>
          <w:sz w:val="28"/>
          <w:szCs w:val="28"/>
        </w:rPr>
        <w:t>暮らし</w:t>
      </w:r>
    </w:p>
    <w:p w:rsidR="00917F35" w:rsidRDefault="00917F35" w:rsidP="00917F35">
      <w:pPr>
        <w:rPr>
          <w:rFonts w:hint="eastAsia"/>
        </w:rPr>
      </w:pPr>
    </w:p>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10</w:t>
      </w:r>
      <w:r w:rsidRPr="00917F35">
        <w:rPr>
          <w:rFonts w:hint="eastAsia"/>
          <w:b/>
          <w:u w:val="single"/>
        </w:rPr>
        <w:t>月</w:t>
      </w:r>
      <w:r w:rsidRPr="00917F35">
        <w:rPr>
          <w:rFonts w:hint="eastAsia"/>
          <w:b/>
          <w:u w:val="single"/>
        </w:rPr>
        <w:t>22</w:t>
      </w:r>
      <w:r w:rsidRPr="00917F35">
        <w:rPr>
          <w:rFonts w:hint="eastAsia"/>
          <w:b/>
          <w:u w:val="single"/>
        </w:rPr>
        <w:t>日は日曜窓口を休止します</w:t>
      </w:r>
    </w:p>
    <w:p w:rsidR="00917F35" w:rsidRDefault="00917F35" w:rsidP="00917F35">
      <w:pPr>
        <w:rPr>
          <w:rFonts w:hint="eastAsia"/>
        </w:rPr>
      </w:pPr>
      <w:r>
        <w:rPr>
          <w:rFonts w:hint="eastAsia"/>
        </w:rPr>
        <w:t xml:space="preserve">　宮城県知事選挙投票日は、市民課日曜窓口を休止します。</w:t>
      </w:r>
    </w:p>
    <w:p w:rsidR="00917F35" w:rsidRDefault="00917F35" w:rsidP="00917F35">
      <w:pPr>
        <w:rPr>
          <w:rFonts w:hint="eastAsia"/>
        </w:rPr>
      </w:pPr>
      <w:r>
        <w:rPr>
          <w:rFonts w:hint="eastAsia"/>
        </w:rPr>
        <w:t xml:space="preserve">休止日　</w:t>
      </w:r>
      <w:r>
        <w:rPr>
          <w:rFonts w:hint="eastAsia"/>
        </w:rPr>
        <w:t>10</w:t>
      </w:r>
      <w:r>
        <w:rPr>
          <w:rFonts w:hint="eastAsia"/>
        </w:rPr>
        <w:t>月</w:t>
      </w:r>
      <w:r>
        <w:rPr>
          <w:rFonts w:hint="eastAsia"/>
        </w:rPr>
        <w:t>22</w:t>
      </w:r>
      <w:r>
        <w:rPr>
          <w:rFonts w:hint="eastAsia"/>
        </w:rPr>
        <w:t>日</w:t>
      </w:r>
    </w:p>
    <w:p w:rsidR="00917F35" w:rsidRDefault="00917F35" w:rsidP="00917F35">
      <w:pPr>
        <w:rPr>
          <w:rFonts w:hint="eastAsia"/>
        </w:rPr>
      </w:pPr>
      <w:r>
        <w:rPr>
          <w:rFonts w:hint="eastAsia"/>
        </w:rPr>
        <w:t>市民課窓口係</w:t>
      </w:r>
      <w:r>
        <w:rPr>
          <w:rFonts w:hint="eastAsia"/>
        </w:rPr>
        <w:t xml:space="preserve"> 23-6079</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店舗の改装費用を支援します</w:t>
      </w:r>
    </w:p>
    <w:p w:rsidR="00917F35" w:rsidRDefault="00917F35" w:rsidP="00917F35">
      <w:pPr>
        <w:rPr>
          <w:rFonts w:hint="eastAsia"/>
        </w:rPr>
      </w:pPr>
      <w:r>
        <w:rPr>
          <w:rFonts w:hint="eastAsia"/>
        </w:rPr>
        <w:t xml:space="preserve">　市内で</w:t>
      </w:r>
      <w:r>
        <w:rPr>
          <w:rFonts w:hint="eastAsia"/>
        </w:rPr>
        <w:t>10</w:t>
      </w:r>
      <w:r>
        <w:rPr>
          <w:rFonts w:hint="eastAsia"/>
        </w:rPr>
        <w:t>年以上営業している店舗の改装工事費などを支援しています。</w:t>
      </w:r>
      <w:r>
        <w:rPr>
          <w:rFonts w:hint="eastAsia"/>
        </w:rPr>
        <w:t>10</w:t>
      </w:r>
      <w:r>
        <w:rPr>
          <w:rFonts w:hint="eastAsia"/>
        </w:rPr>
        <w:t>月から対象を市内全域に拡大します。詳しくはお問い合わせください。</w:t>
      </w:r>
    </w:p>
    <w:p w:rsidR="00917F35" w:rsidRDefault="00917F35" w:rsidP="00917F35">
      <w:pPr>
        <w:rPr>
          <w:rFonts w:hint="eastAsia"/>
        </w:rPr>
      </w:pPr>
      <w:r>
        <w:rPr>
          <w:rFonts w:hint="eastAsia"/>
        </w:rPr>
        <w:t>補助金額　対象経費の半額以内（限度額</w:t>
      </w:r>
      <w:r>
        <w:rPr>
          <w:rFonts w:hint="eastAsia"/>
        </w:rPr>
        <w:t>30</w:t>
      </w:r>
      <w:r>
        <w:rPr>
          <w:rFonts w:hint="eastAsia"/>
        </w:rPr>
        <w:t>万円）</w:t>
      </w:r>
    </w:p>
    <w:p w:rsidR="00917F35" w:rsidRDefault="00917F35" w:rsidP="00917F35">
      <w:pPr>
        <w:rPr>
          <w:rFonts w:hint="eastAsia"/>
        </w:rPr>
      </w:pPr>
      <w:r>
        <w:rPr>
          <w:rFonts w:hint="eastAsia"/>
        </w:rPr>
        <w:t xml:space="preserve">申込期間　</w:t>
      </w:r>
      <w:r>
        <w:rPr>
          <w:rFonts w:hint="eastAsia"/>
        </w:rPr>
        <w:t>10</w:t>
      </w:r>
      <w:r>
        <w:rPr>
          <w:rFonts w:hint="eastAsia"/>
        </w:rPr>
        <w:t>月</w:t>
      </w:r>
      <w:r>
        <w:rPr>
          <w:rFonts w:hint="eastAsia"/>
        </w:rPr>
        <w:t>2</w:t>
      </w:r>
      <w:r>
        <w:rPr>
          <w:rFonts w:hint="eastAsia"/>
        </w:rPr>
        <w:t>日から</w:t>
      </w:r>
    </w:p>
    <w:p w:rsidR="00917F35" w:rsidRDefault="00917F35" w:rsidP="00917F35">
      <w:pPr>
        <w:rPr>
          <w:rFonts w:hint="eastAsia"/>
        </w:rPr>
      </w:pPr>
      <w:r>
        <w:rPr>
          <w:rFonts w:hint="eastAsia"/>
        </w:rPr>
        <w:t>申込先　商工会議所、各商工会</w:t>
      </w:r>
    </w:p>
    <w:p w:rsidR="00917F35" w:rsidRDefault="00917F35" w:rsidP="00917F35">
      <w:pPr>
        <w:rPr>
          <w:rFonts w:hint="eastAsia"/>
        </w:rPr>
      </w:pPr>
      <w:r>
        <w:rPr>
          <w:rFonts w:hint="eastAsia"/>
        </w:rPr>
        <w:t>※予算額に達した時点で受け付けを終了します。</w:t>
      </w:r>
    </w:p>
    <w:p w:rsidR="00917F35" w:rsidRDefault="00917F35" w:rsidP="00917F35">
      <w:pPr>
        <w:rPr>
          <w:rFonts w:hint="eastAsia"/>
        </w:rPr>
      </w:pPr>
      <w:r>
        <w:rPr>
          <w:rFonts w:hint="eastAsia"/>
        </w:rPr>
        <w:t>商工振興課商工振興係</w:t>
      </w:r>
      <w:r>
        <w:rPr>
          <w:rFonts w:hint="eastAsia"/>
        </w:rPr>
        <w:t xml:space="preserve">  23-7091</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ソーラー電気柵の導入を支援します</w:t>
      </w:r>
    </w:p>
    <w:p w:rsidR="00917F35" w:rsidRDefault="00917F35" w:rsidP="00917F35">
      <w:pPr>
        <w:rPr>
          <w:rFonts w:hint="eastAsia"/>
        </w:rPr>
      </w:pPr>
      <w:r>
        <w:rPr>
          <w:rFonts w:hint="eastAsia"/>
        </w:rPr>
        <w:t xml:space="preserve">　環境に配慮しながら農作物の被害を軽減できるよう、ソーラー電気柵などの導入に対して支援を行います。</w:t>
      </w:r>
    </w:p>
    <w:p w:rsidR="00917F35" w:rsidRDefault="00917F35" w:rsidP="00917F35">
      <w:pPr>
        <w:rPr>
          <w:rFonts w:hint="eastAsia"/>
        </w:rPr>
      </w:pPr>
      <w:r>
        <w:rPr>
          <w:rFonts w:hint="eastAsia"/>
        </w:rPr>
        <w:t>対象　市内の農業者</w:t>
      </w:r>
    </w:p>
    <w:p w:rsidR="00917F35" w:rsidRDefault="00917F35" w:rsidP="00917F35">
      <w:pPr>
        <w:rPr>
          <w:rFonts w:hint="eastAsia"/>
        </w:rPr>
      </w:pPr>
      <w:r>
        <w:rPr>
          <w:rFonts w:hint="eastAsia"/>
        </w:rPr>
        <w:t>補助対象経費　ソーラー電気柵などを導入する際の事業経費</w:t>
      </w:r>
    </w:p>
    <w:p w:rsidR="00917F35" w:rsidRDefault="00917F35" w:rsidP="00917F35">
      <w:pPr>
        <w:rPr>
          <w:rFonts w:hint="eastAsia"/>
        </w:rPr>
      </w:pPr>
      <w:r>
        <w:rPr>
          <w:rFonts w:hint="eastAsia"/>
        </w:rPr>
        <w:t>※国・県補助事業を活用する場合は対象になりません。</w:t>
      </w:r>
    </w:p>
    <w:p w:rsidR="00917F35" w:rsidRDefault="00917F35" w:rsidP="00917F35">
      <w:pPr>
        <w:rPr>
          <w:rFonts w:hint="eastAsia"/>
        </w:rPr>
      </w:pPr>
      <w:r>
        <w:rPr>
          <w:rFonts w:hint="eastAsia"/>
        </w:rPr>
        <w:t>補助率　補助対象経費の半額以内（上限</w:t>
      </w:r>
      <w:r>
        <w:rPr>
          <w:rFonts w:hint="eastAsia"/>
        </w:rPr>
        <w:t>30</w:t>
      </w:r>
      <w:r>
        <w:rPr>
          <w:rFonts w:hint="eastAsia"/>
        </w:rPr>
        <w:t>万円）</w:t>
      </w:r>
    </w:p>
    <w:p w:rsidR="00917F35" w:rsidRDefault="00917F35" w:rsidP="00917F35">
      <w:pPr>
        <w:rPr>
          <w:rFonts w:hint="eastAsia"/>
        </w:rPr>
      </w:pPr>
      <w:r>
        <w:rPr>
          <w:rFonts w:hint="eastAsia"/>
        </w:rPr>
        <w:t xml:space="preserve">申込　</w:t>
      </w:r>
      <w:r>
        <w:rPr>
          <w:rFonts w:hint="eastAsia"/>
        </w:rPr>
        <w:t>10</w:t>
      </w:r>
      <w:r>
        <w:rPr>
          <w:rFonts w:hint="eastAsia"/>
        </w:rPr>
        <w:t>月</w:t>
      </w:r>
      <w:r>
        <w:rPr>
          <w:rFonts w:hint="eastAsia"/>
        </w:rPr>
        <w:t>2</w:t>
      </w:r>
      <w:r>
        <w:rPr>
          <w:rFonts w:hint="eastAsia"/>
        </w:rPr>
        <w:t>日以降、農林振興課か各総合支所地域振興課窓口に申し込み</w:t>
      </w:r>
    </w:p>
    <w:p w:rsidR="00917F35" w:rsidRDefault="00917F35" w:rsidP="00917F35">
      <w:pPr>
        <w:rPr>
          <w:rFonts w:hint="eastAsia"/>
        </w:rPr>
      </w:pPr>
      <w:r>
        <w:rPr>
          <w:rFonts w:hint="eastAsia"/>
        </w:rPr>
        <w:t>農林振興課林政係</w:t>
      </w:r>
      <w:r>
        <w:rPr>
          <w:rFonts w:hint="eastAsia"/>
        </w:rPr>
        <w:t xml:space="preserve">  23-7090</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海外で受けた治療は療養費の対象になります</w:t>
      </w:r>
    </w:p>
    <w:p w:rsidR="00917F35" w:rsidRDefault="00917F35" w:rsidP="00917F35">
      <w:pPr>
        <w:rPr>
          <w:rFonts w:hint="eastAsia"/>
        </w:rPr>
      </w:pPr>
      <w:r>
        <w:rPr>
          <w:rFonts w:hint="eastAsia"/>
        </w:rPr>
        <w:t xml:space="preserve">　国民健康保険（国保）や後期高齢者医療保険の加入者が、海外渡航中に医療機関で治療を受けた場合、申請により支払った医療費の一部が払い戻される制度が海外療養費です。</w:t>
      </w:r>
      <w:r>
        <w:rPr>
          <w:rFonts w:hint="eastAsia"/>
        </w:rPr>
        <w:lastRenderedPageBreak/>
        <w:t>ただし、治療目的の渡航や日本で保険適用されていない治療は対象になりません。</w:t>
      </w:r>
    </w:p>
    <w:p w:rsidR="00917F35" w:rsidRDefault="00917F35" w:rsidP="00917F35">
      <w:pPr>
        <w:rPr>
          <w:rFonts w:hint="eastAsia"/>
        </w:rPr>
      </w:pPr>
      <w:r>
        <w:rPr>
          <w:rFonts w:hint="eastAsia"/>
        </w:rPr>
        <w:t xml:space="preserve">　申請から支給まで</w:t>
      </w:r>
      <w:r>
        <w:rPr>
          <w:rFonts w:hint="eastAsia"/>
        </w:rPr>
        <w:t>4</w:t>
      </w:r>
      <w:r>
        <w:rPr>
          <w:rFonts w:hint="eastAsia"/>
        </w:rPr>
        <w:t>カ月程かかります。また、支払いをした翌日から</w:t>
      </w:r>
      <w:r>
        <w:rPr>
          <w:rFonts w:hint="eastAsia"/>
        </w:rPr>
        <w:t>2</w:t>
      </w:r>
      <w:r>
        <w:rPr>
          <w:rFonts w:hint="eastAsia"/>
        </w:rPr>
        <w:t>年を経過すると申請できません。</w:t>
      </w:r>
    </w:p>
    <w:p w:rsidR="00917F35" w:rsidRDefault="00917F35" w:rsidP="00917F35">
      <w:pPr>
        <w:rPr>
          <w:rFonts w:hint="eastAsia"/>
        </w:rPr>
      </w:pPr>
      <w:r>
        <w:rPr>
          <w:rFonts w:hint="eastAsia"/>
        </w:rPr>
        <w:t>■</w:t>
      </w:r>
      <w:r>
        <w:rPr>
          <w:rFonts w:hint="eastAsia"/>
        </w:rPr>
        <w:t>申請に必要なもの</w:t>
      </w:r>
    </w:p>
    <w:p w:rsidR="00917F35" w:rsidRDefault="00917F35" w:rsidP="00917F35">
      <w:pPr>
        <w:rPr>
          <w:rFonts w:hint="eastAsia"/>
        </w:rPr>
      </w:pPr>
      <w:r>
        <w:rPr>
          <w:rFonts w:hint="eastAsia"/>
        </w:rPr>
        <w:t>①</w:t>
      </w:r>
      <w:r>
        <w:rPr>
          <w:rFonts w:hint="eastAsia"/>
        </w:rPr>
        <w:t xml:space="preserve">療養費支給申請書　</w:t>
      </w:r>
      <w:r>
        <w:rPr>
          <w:rFonts w:hint="eastAsia"/>
        </w:rPr>
        <w:t>②</w:t>
      </w:r>
      <w:r>
        <w:rPr>
          <w:rFonts w:hint="eastAsia"/>
        </w:rPr>
        <w:t xml:space="preserve">診療内容明細書（医療機関の原本と日本語翻訳したもの）　</w:t>
      </w:r>
      <w:r>
        <w:rPr>
          <w:rFonts w:hint="eastAsia"/>
        </w:rPr>
        <w:t>③</w:t>
      </w:r>
      <w:r>
        <w:rPr>
          <w:rFonts w:hint="eastAsia"/>
        </w:rPr>
        <w:t xml:space="preserve">領収書（医療機関の原本と日本語翻訳したもの）　</w:t>
      </w:r>
      <w:r>
        <w:rPr>
          <w:rFonts w:hint="eastAsia"/>
        </w:rPr>
        <w:t>④</w:t>
      </w:r>
      <w:r>
        <w:rPr>
          <w:rFonts w:hint="eastAsia"/>
        </w:rPr>
        <w:t xml:space="preserve">調査同意書　</w:t>
      </w:r>
      <w:r>
        <w:rPr>
          <w:rFonts w:hint="eastAsia"/>
        </w:rPr>
        <w:t>⑤</w:t>
      </w:r>
      <w:r>
        <w:rPr>
          <w:rFonts w:hint="eastAsia"/>
        </w:rPr>
        <w:t xml:space="preserve">パスポート　</w:t>
      </w:r>
      <w:r>
        <w:rPr>
          <w:rFonts w:hint="eastAsia"/>
        </w:rPr>
        <w:t>⑥</w:t>
      </w:r>
      <w:r>
        <w:rPr>
          <w:rFonts w:hint="eastAsia"/>
        </w:rPr>
        <w:t xml:space="preserve">健康保険証　</w:t>
      </w:r>
      <w:r>
        <w:rPr>
          <w:rFonts w:hint="eastAsia"/>
        </w:rPr>
        <w:t>⑦</w:t>
      </w:r>
      <w:r>
        <w:rPr>
          <w:rFonts w:hint="eastAsia"/>
        </w:rPr>
        <w:t xml:space="preserve">対象者の個人番号が分かるもの　</w:t>
      </w:r>
      <w:r>
        <w:rPr>
          <w:rFonts w:hint="eastAsia"/>
        </w:rPr>
        <w:t>⑧</w:t>
      </w:r>
      <w:r>
        <w:rPr>
          <w:rFonts w:hint="eastAsia"/>
        </w:rPr>
        <w:t xml:space="preserve">世帯主の個人番号が分かるもの（国保加入者のみ）　</w:t>
      </w:r>
      <w:r>
        <w:rPr>
          <w:rFonts w:hint="eastAsia"/>
        </w:rPr>
        <w:t>⑨</w:t>
      </w:r>
      <w:r>
        <w:rPr>
          <w:rFonts w:hint="eastAsia"/>
        </w:rPr>
        <w:t xml:space="preserve">印鑑（インキ浸透印不可）　</w:t>
      </w:r>
      <w:r>
        <w:rPr>
          <w:rFonts w:hint="eastAsia"/>
        </w:rPr>
        <w:t>⑩</w:t>
      </w:r>
      <w:r>
        <w:rPr>
          <w:rFonts w:hint="eastAsia"/>
        </w:rPr>
        <w:t>世帯主または受診者名義の預金通帳</w:t>
      </w:r>
    </w:p>
    <w:p w:rsidR="00917F35" w:rsidRDefault="00917F35" w:rsidP="00917F35">
      <w:pPr>
        <w:rPr>
          <w:rFonts w:hint="eastAsia"/>
        </w:rPr>
      </w:pPr>
      <w:r>
        <w:rPr>
          <w:rFonts w:hint="eastAsia"/>
        </w:rPr>
        <w:t>※</w:t>
      </w:r>
      <w:r>
        <w:rPr>
          <w:rFonts w:hint="eastAsia"/>
        </w:rPr>
        <w:t>①</w:t>
      </w:r>
      <w:r>
        <w:rPr>
          <w:rFonts w:hint="eastAsia"/>
        </w:rPr>
        <w:t>～</w:t>
      </w:r>
      <w:r>
        <w:rPr>
          <w:rFonts w:hint="eastAsia"/>
        </w:rPr>
        <w:t>④</w:t>
      </w:r>
      <w:r>
        <w:rPr>
          <w:rFonts w:hint="eastAsia"/>
        </w:rPr>
        <w:t>の各様式は、保険給付課窓口に備え付けています。</w:t>
      </w:r>
    </w:p>
    <w:p w:rsidR="00917F35" w:rsidRDefault="00917F35" w:rsidP="00917F35">
      <w:pPr>
        <w:rPr>
          <w:rFonts w:hint="eastAsia"/>
        </w:rPr>
      </w:pPr>
      <w:r>
        <w:rPr>
          <w:rFonts w:hint="eastAsia"/>
        </w:rPr>
        <w:t>保険給付課国民健康保険担当・後期高齢者医療担当</w:t>
      </w:r>
      <w:r>
        <w:rPr>
          <w:rFonts w:hint="eastAsia"/>
        </w:rPr>
        <w:t xml:space="preserve"> 23-6051</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土地売買の際に届け出が必要な場合があります</w:t>
      </w:r>
    </w:p>
    <w:p w:rsidR="00917F35" w:rsidRPr="00917F35" w:rsidRDefault="00917F35" w:rsidP="00917F35">
      <w:r>
        <w:rPr>
          <w:rFonts w:hint="eastAsia"/>
        </w:rPr>
        <w:t xml:space="preserve">　乱開発・無秩序な土地利用の防止などのため、一定面積の土地売買には届け出が必要です。土地の場所や面積によって、届け出の時期や届出者が異なります。事前に確認してください。</w:t>
      </w:r>
    </w:p>
    <w:tbl>
      <w:tblPr>
        <w:tblW w:w="0" w:type="auto"/>
        <w:tblInd w:w="17" w:type="dxa"/>
        <w:tblLayout w:type="fixed"/>
        <w:tblCellMar>
          <w:left w:w="0" w:type="dxa"/>
          <w:right w:w="0" w:type="dxa"/>
        </w:tblCellMar>
        <w:tblLook w:val="0000" w:firstRow="0" w:lastRow="0" w:firstColumn="0" w:lastColumn="0" w:noHBand="0" w:noVBand="0"/>
      </w:tblPr>
      <w:tblGrid>
        <w:gridCol w:w="2835"/>
        <w:gridCol w:w="2268"/>
        <w:gridCol w:w="3261"/>
      </w:tblGrid>
      <w:tr w:rsidR="00917F35" w:rsidRPr="00917F35" w:rsidTr="00917F35">
        <w:tblPrEx>
          <w:tblCellMar>
            <w:top w:w="0" w:type="dxa"/>
            <w:left w:w="0" w:type="dxa"/>
            <w:bottom w:w="0" w:type="dxa"/>
            <w:right w:w="0" w:type="dxa"/>
          </w:tblCellMar>
        </w:tblPrEx>
        <w:trPr>
          <w:trHeight w:val="113"/>
        </w:trPr>
        <w:tc>
          <w:tcPr>
            <w:tcW w:w="2835"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917F35" w:rsidRPr="00917F35" w:rsidRDefault="00917F35" w:rsidP="00917F35">
            <w:r w:rsidRPr="00917F35">
              <w:rPr>
                <w:rFonts w:hint="eastAsia"/>
              </w:rPr>
              <w:t>区域</w:t>
            </w:r>
          </w:p>
        </w:tc>
        <w:tc>
          <w:tcPr>
            <w:tcW w:w="2268"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917F35" w:rsidRPr="00917F35" w:rsidRDefault="00917F35" w:rsidP="00917F35">
            <w:r w:rsidRPr="00917F35">
              <w:rPr>
                <w:rFonts w:hint="eastAsia"/>
              </w:rPr>
              <w:t>面積</w:t>
            </w:r>
          </w:p>
        </w:tc>
        <w:tc>
          <w:tcPr>
            <w:tcW w:w="3261" w:type="dxa"/>
            <w:tcBorders>
              <w:top w:val="single" w:sz="3" w:space="0" w:color="000000"/>
              <w:left w:val="single" w:sz="3" w:space="0" w:color="000000"/>
              <w:bottom w:val="single" w:sz="3" w:space="0" w:color="000000"/>
              <w:right w:val="single" w:sz="6" w:space="0" w:color="323232"/>
            </w:tcBorders>
            <w:shd w:val="solid" w:color="FFCBFF" w:fill="auto"/>
            <w:tcMar>
              <w:top w:w="34" w:type="dxa"/>
              <w:left w:w="17" w:type="dxa"/>
              <w:bottom w:w="34" w:type="dxa"/>
              <w:right w:w="17" w:type="dxa"/>
            </w:tcMar>
            <w:vAlign w:val="center"/>
          </w:tcPr>
          <w:p w:rsidR="00917F35" w:rsidRPr="00917F35" w:rsidRDefault="00917F35" w:rsidP="00917F35">
            <w:r w:rsidRPr="00917F35">
              <w:rPr>
                <w:rFonts w:hint="eastAsia"/>
              </w:rPr>
              <w:t>届出者</w:t>
            </w:r>
          </w:p>
        </w:tc>
      </w:tr>
      <w:tr w:rsidR="00917F35" w:rsidRPr="00917F35" w:rsidTr="00917F35">
        <w:tblPrEx>
          <w:tblCellMar>
            <w:top w:w="0" w:type="dxa"/>
            <w:left w:w="0" w:type="dxa"/>
            <w:bottom w:w="0" w:type="dxa"/>
            <w:right w:w="0" w:type="dxa"/>
          </w:tblCellMar>
        </w:tblPrEx>
        <w:trPr>
          <w:trHeight w:val="113"/>
        </w:trPr>
        <w:tc>
          <w:tcPr>
            <w:tcW w:w="2835" w:type="dxa"/>
            <w:vMerge w:val="restart"/>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都市計画区域</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t>5,000</w:t>
            </w:r>
            <w:r w:rsidRPr="00917F35">
              <w:rPr>
                <w:rFonts w:hint="eastAsia"/>
              </w:rPr>
              <w:t>㎡以上</w:t>
            </w:r>
            <w:r w:rsidRPr="00917F35">
              <w:t xml:space="preserve"> </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土地の権利取得者（買主）</w:t>
            </w:r>
          </w:p>
        </w:tc>
      </w:tr>
      <w:tr w:rsidR="00917F35" w:rsidRPr="00917F35" w:rsidTr="00917F35">
        <w:tblPrEx>
          <w:tblCellMar>
            <w:top w:w="0" w:type="dxa"/>
            <w:left w:w="0" w:type="dxa"/>
            <w:bottom w:w="0" w:type="dxa"/>
            <w:right w:w="0" w:type="dxa"/>
          </w:tblCellMar>
        </w:tblPrEx>
        <w:trPr>
          <w:trHeight w:val="113"/>
        </w:trPr>
        <w:tc>
          <w:tcPr>
            <w:tcW w:w="2835" w:type="dxa"/>
            <w:vMerge/>
            <w:tcBorders>
              <w:top w:val="single" w:sz="3" w:space="0" w:color="000000"/>
              <w:left w:val="single" w:sz="6" w:space="0" w:color="000000"/>
              <w:bottom w:val="single" w:sz="3" w:space="0" w:color="000000"/>
              <w:right w:val="single" w:sz="3" w:space="0" w:color="000000"/>
            </w:tcBorders>
          </w:tcPr>
          <w:p w:rsidR="00917F35" w:rsidRPr="00917F35" w:rsidRDefault="00917F35" w:rsidP="00917F35"/>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t>10,000</w:t>
            </w:r>
            <w:r w:rsidRPr="00917F35">
              <w:rPr>
                <w:rFonts w:hint="eastAsia"/>
              </w:rPr>
              <w:t>㎡以上</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土地の権利譲渡者（売主）</w:t>
            </w:r>
          </w:p>
        </w:tc>
      </w:tr>
      <w:tr w:rsidR="00917F35" w:rsidRPr="00917F35" w:rsidTr="00917F35">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都市計画道路などの区域</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t>200</w:t>
            </w:r>
            <w:r w:rsidRPr="00917F35">
              <w:rPr>
                <w:rFonts w:hint="eastAsia"/>
              </w:rPr>
              <w:t>㎡以上</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土地の権利譲渡者（売主）</w:t>
            </w:r>
          </w:p>
        </w:tc>
      </w:tr>
      <w:tr w:rsidR="00917F35" w:rsidRPr="00917F35" w:rsidTr="00917F35">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都市計画区域以外の区域</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t>10,000</w:t>
            </w:r>
            <w:r w:rsidRPr="00917F35">
              <w:rPr>
                <w:rFonts w:hint="eastAsia"/>
              </w:rPr>
              <w:t>㎡以上</w:t>
            </w:r>
            <w:r w:rsidRPr="00917F35">
              <w:t xml:space="preserve"> </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917F35" w:rsidRPr="00917F35" w:rsidRDefault="00917F35" w:rsidP="00917F35">
            <w:r w:rsidRPr="00917F35">
              <w:rPr>
                <w:rFonts w:hint="eastAsia"/>
              </w:rPr>
              <w:t>土地の権利取得者（買主）</w:t>
            </w:r>
          </w:p>
        </w:tc>
      </w:tr>
    </w:tbl>
    <w:p w:rsidR="00917F35" w:rsidRDefault="00917F35" w:rsidP="00917F35">
      <w:pPr>
        <w:rPr>
          <w:rFonts w:hint="eastAsia"/>
        </w:rPr>
      </w:pPr>
      <w:r>
        <w:rPr>
          <w:rFonts w:hint="eastAsia"/>
        </w:rPr>
        <w:t>※それぞれ届出時期が異なります。詳しくはお問い合わせください。</w:t>
      </w:r>
    </w:p>
    <w:p w:rsidR="00917F35" w:rsidRDefault="00917F35" w:rsidP="00917F35">
      <w:pPr>
        <w:rPr>
          <w:rFonts w:hint="eastAsia"/>
        </w:rPr>
      </w:pPr>
      <w:r>
        <w:rPr>
          <w:rFonts w:hint="eastAsia"/>
        </w:rPr>
        <w:t>政策課政策企画担当</w:t>
      </w:r>
      <w:r>
        <w:rPr>
          <w:rFonts w:hint="eastAsia"/>
        </w:rPr>
        <w:t xml:space="preserve"> 23-2129</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快適住まいづくり支援事業の受け付けを終了しました</w:t>
      </w:r>
    </w:p>
    <w:p w:rsidR="00917F35" w:rsidRDefault="00917F35" w:rsidP="00917F35">
      <w:pPr>
        <w:rPr>
          <w:rFonts w:hint="eastAsia"/>
        </w:rPr>
      </w:pPr>
      <w:r>
        <w:rPr>
          <w:rFonts w:hint="eastAsia"/>
        </w:rPr>
        <w:t xml:space="preserve">　快適住まいづくり支援事業（生活排水設備工事・バリアフリー工事）は、予定件数に達したため、受け付けを終了しました。</w:t>
      </w:r>
    </w:p>
    <w:p w:rsidR="00917F35" w:rsidRDefault="00917F35" w:rsidP="00917F35">
      <w:pPr>
        <w:rPr>
          <w:rFonts w:hint="eastAsia"/>
        </w:rPr>
      </w:pPr>
      <w:r>
        <w:rPr>
          <w:rFonts w:hint="eastAsia"/>
        </w:rPr>
        <w:t>建築住宅課住宅計画係</w:t>
      </w:r>
      <w:r>
        <w:rPr>
          <w:rFonts w:hint="eastAsia"/>
        </w:rPr>
        <w:t xml:space="preserve">  23-8057</w:t>
      </w:r>
    </w:p>
    <w:p w:rsidR="00917F35" w:rsidRDefault="00917F35" w:rsidP="00AF37E7">
      <w:pPr>
        <w:rPr>
          <w:rFonts w:hint="eastAsia"/>
        </w:rPr>
      </w:pPr>
    </w:p>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化女沼古代の里の駐車場舗装工事が完成しました</w:t>
      </w:r>
    </w:p>
    <w:p w:rsidR="00917F35" w:rsidRDefault="00917F35" w:rsidP="00917F35">
      <w:pPr>
        <w:rPr>
          <w:rFonts w:hint="eastAsia"/>
        </w:rPr>
      </w:pPr>
      <w:r>
        <w:rPr>
          <w:rFonts w:hint="eastAsia"/>
        </w:rPr>
        <w:t xml:space="preserve">　化女沼古代の里の駐車場舗装が完成し、</w:t>
      </w:r>
      <w:r>
        <w:rPr>
          <w:rFonts w:hint="eastAsia"/>
        </w:rPr>
        <w:t>10</w:t>
      </w:r>
      <w:r>
        <w:rPr>
          <w:rFonts w:hint="eastAsia"/>
        </w:rPr>
        <w:t>月</w:t>
      </w:r>
      <w:r>
        <w:rPr>
          <w:rFonts w:hint="eastAsia"/>
        </w:rPr>
        <w:t>1</w:t>
      </w:r>
      <w:r>
        <w:rPr>
          <w:rFonts w:hint="eastAsia"/>
        </w:rPr>
        <w:t>日から全面開放します。</w:t>
      </w:r>
    </w:p>
    <w:p w:rsidR="00917F35" w:rsidRDefault="00917F35" w:rsidP="00917F35">
      <w:pPr>
        <w:rPr>
          <w:rFonts w:hint="eastAsia"/>
        </w:rPr>
      </w:pPr>
      <w:r>
        <w:rPr>
          <w:rFonts w:hint="eastAsia"/>
        </w:rPr>
        <w:t xml:space="preserve">　</w:t>
      </w:r>
      <w:r>
        <w:rPr>
          <w:rFonts w:hint="eastAsia"/>
        </w:rPr>
        <w:t>6</w:t>
      </w:r>
      <w:r>
        <w:rPr>
          <w:rFonts w:hint="eastAsia"/>
        </w:rPr>
        <w:t>月に追加した新しいかまどでの芋煮会やピクニックの際に、新しく整備した駐車場を利用してください。</w:t>
      </w:r>
    </w:p>
    <w:p w:rsidR="00917F35" w:rsidRDefault="00917F35" w:rsidP="00917F35">
      <w:pPr>
        <w:rPr>
          <w:rFonts w:hint="eastAsia"/>
        </w:rPr>
      </w:pPr>
      <w:r>
        <w:rPr>
          <w:rFonts w:hint="eastAsia"/>
        </w:rPr>
        <w:t>建設課管理係</w:t>
      </w:r>
      <w:r>
        <w:rPr>
          <w:rFonts w:hint="eastAsia"/>
        </w:rPr>
        <w:t xml:space="preserve"> 23-8016</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ごみを出すときはルールを守りましょう</w:t>
      </w:r>
    </w:p>
    <w:p w:rsidR="00917F35" w:rsidRDefault="00917F35" w:rsidP="00917F35">
      <w:pPr>
        <w:rPr>
          <w:rFonts w:hint="eastAsia"/>
        </w:rPr>
      </w:pPr>
      <w:r>
        <w:rPr>
          <w:rFonts w:hint="eastAsia"/>
        </w:rPr>
        <w:t xml:space="preserve">　分別されていないごみ、指定袋以外に入れて出されたごみ、粗大ごみや事業活動により排出されるごみなどは収集できません。ルール違反のごみは不法投棄となり、地域住民に迷惑がかかります。</w:t>
      </w:r>
    </w:p>
    <w:p w:rsidR="00917F35" w:rsidRDefault="00917F35" w:rsidP="00917F35">
      <w:pPr>
        <w:rPr>
          <w:rFonts w:hint="eastAsia"/>
        </w:rPr>
      </w:pPr>
      <w:r>
        <w:rPr>
          <w:rFonts w:hint="eastAsia"/>
        </w:rPr>
        <w:t xml:space="preserve">　</w:t>
      </w:r>
      <w:r>
        <w:rPr>
          <w:rFonts w:hint="eastAsia"/>
        </w:rPr>
        <w:t>10</w:t>
      </w:r>
      <w:r>
        <w:rPr>
          <w:rFonts w:hint="eastAsia"/>
        </w:rPr>
        <w:t>月はごみ排出マナー強化月間として、ルール違反により収集できないごみに「収集不可」の貼り紙をします。ごみを出す際はルールを守りましょう。</w:t>
      </w:r>
    </w:p>
    <w:p w:rsidR="00917F35" w:rsidRDefault="00917F35" w:rsidP="00917F35">
      <w:pPr>
        <w:rPr>
          <w:rFonts w:hint="eastAsia"/>
        </w:rPr>
      </w:pPr>
      <w:r>
        <w:rPr>
          <w:rFonts w:hint="eastAsia"/>
        </w:rPr>
        <w:t>環境保全課廃棄物対策担当</w:t>
      </w:r>
      <w:r>
        <w:rPr>
          <w:rFonts w:hint="eastAsia"/>
        </w:rPr>
        <w:t xml:space="preserve">  23-6074</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大切な契約は公正証書にすることをおすすめします</w:t>
      </w:r>
    </w:p>
    <w:p w:rsidR="00917F35" w:rsidRDefault="00917F35" w:rsidP="00917F35">
      <w:pPr>
        <w:rPr>
          <w:rFonts w:hint="eastAsia"/>
        </w:rPr>
      </w:pPr>
      <w:r>
        <w:rPr>
          <w:rFonts w:hint="eastAsia"/>
        </w:rPr>
        <w:t xml:space="preserve">　公証制度は、権利・義務を明確にし、争いを未然に防止するためのものです。遺言や金銭、不動産などの大切な契約は、公正証書にすることをお勧めします。</w:t>
      </w:r>
    </w:p>
    <w:p w:rsidR="00917F35" w:rsidRDefault="00917F35" w:rsidP="00917F35">
      <w:pPr>
        <w:rPr>
          <w:rFonts w:hint="eastAsia"/>
        </w:rPr>
      </w:pPr>
      <w:r>
        <w:rPr>
          <w:rFonts w:hint="eastAsia"/>
        </w:rPr>
        <w:lastRenderedPageBreak/>
        <w:t>古川公証役場</w:t>
      </w:r>
      <w:r>
        <w:rPr>
          <w:rFonts w:hint="eastAsia"/>
        </w:rPr>
        <w:t xml:space="preserve">  22-2332</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労働契約期間の無期転換ルールが本格的にはじまります</w:t>
      </w:r>
    </w:p>
    <w:p w:rsidR="00917F35" w:rsidRDefault="00917F35" w:rsidP="00917F35">
      <w:pPr>
        <w:rPr>
          <w:rFonts w:hint="eastAsia"/>
        </w:rPr>
      </w:pPr>
      <w:r>
        <w:rPr>
          <w:rFonts w:hint="eastAsia"/>
        </w:rPr>
        <w:t xml:space="preserve">　無期転換ルールとは、有期労働契約が通算</w:t>
      </w:r>
      <w:r>
        <w:rPr>
          <w:rFonts w:hint="eastAsia"/>
        </w:rPr>
        <w:t>5</w:t>
      </w:r>
      <w:r>
        <w:rPr>
          <w:rFonts w:hint="eastAsia"/>
        </w:rPr>
        <w:t>年を超えた労働者が、期間の定めのない労働契約（無期労働契約）を希望した場合に、労働契約の期間を転換できるというものです。</w:t>
      </w:r>
    </w:p>
    <w:p w:rsidR="00917F35" w:rsidRDefault="00917F35" w:rsidP="00917F35">
      <w:pPr>
        <w:rPr>
          <w:rFonts w:hint="eastAsia"/>
        </w:rPr>
      </w:pPr>
      <w:r>
        <w:rPr>
          <w:rFonts w:hint="eastAsia"/>
        </w:rPr>
        <w:t xml:space="preserve">　制度の詳しい内容は、お問い合わせください。</w:t>
      </w:r>
    </w:p>
    <w:p w:rsidR="00917F35" w:rsidRDefault="00917F35" w:rsidP="00917F35">
      <w:pPr>
        <w:rPr>
          <w:rFonts w:hint="eastAsia"/>
        </w:rPr>
      </w:pPr>
      <w:r>
        <w:rPr>
          <w:rFonts w:hint="eastAsia"/>
        </w:rPr>
        <w:t>対象　平成</w:t>
      </w:r>
      <w:r>
        <w:rPr>
          <w:rFonts w:hint="eastAsia"/>
        </w:rPr>
        <w:t>25</w:t>
      </w:r>
      <w:r>
        <w:rPr>
          <w:rFonts w:hint="eastAsia"/>
        </w:rPr>
        <w:t>年</w:t>
      </w:r>
      <w:r>
        <w:rPr>
          <w:rFonts w:hint="eastAsia"/>
        </w:rPr>
        <w:t>4</w:t>
      </w:r>
      <w:r>
        <w:rPr>
          <w:rFonts w:hint="eastAsia"/>
        </w:rPr>
        <w:t>月</w:t>
      </w:r>
      <w:r>
        <w:rPr>
          <w:rFonts w:hint="eastAsia"/>
        </w:rPr>
        <w:t>1</w:t>
      </w:r>
      <w:r>
        <w:rPr>
          <w:rFonts w:hint="eastAsia"/>
        </w:rPr>
        <w:t>日以降に開始した有期労働契約（平成</w:t>
      </w:r>
      <w:r>
        <w:rPr>
          <w:rFonts w:hint="eastAsia"/>
        </w:rPr>
        <w:t>30</w:t>
      </w:r>
      <w:r>
        <w:rPr>
          <w:rFonts w:hint="eastAsia"/>
        </w:rPr>
        <w:t>年</w:t>
      </w:r>
      <w:r>
        <w:rPr>
          <w:rFonts w:hint="eastAsia"/>
        </w:rPr>
        <w:t>4</w:t>
      </w:r>
      <w:r>
        <w:rPr>
          <w:rFonts w:hint="eastAsia"/>
        </w:rPr>
        <w:t>月以降に通算</w:t>
      </w:r>
      <w:r>
        <w:rPr>
          <w:rFonts w:hint="eastAsia"/>
        </w:rPr>
        <w:t>5</w:t>
      </w:r>
      <w:r>
        <w:rPr>
          <w:rFonts w:hint="eastAsia"/>
        </w:rPr>
        <w:t>年を超える労働契約）</w:t>
      </w:r>
    </w:p>
    <w:p w:rsidR="00917F35" w:rsidRDefault="00917F35" w:rsidP="00917F35">
      <w:pPr>
        <w:rPr>
          <w:rFonts w:hint="eastAsia"/>
        </w:rPr>
      </w:pPr>
      <w:r>
        <w:rPr>
          <w:rFonts w:hint="eastAsia"/>
        </w:rPr>
        <w:t>宮城労働局雇用環境・均等室</w:t>
      </w:r>
      <w:r>
        <w:rPr>
          <w:rFonts w:hint="eastAsia"/>
        </w:rPr>
        <w:t xml:space="preserve"> 022-299-8844</w:t>
      </w:r>
    </w:p>
    <w:p w:rsidR="00917F35" w:rsidRDefault="00917F35" w:rsidP="00917F35"/>
    <w:p w:rsidR="00917F35" w:rsidRPr="00917F35" w:rsidRDefault="00917F35" w:rsidP="00917F35">
      <w:pPr>
        <w:rPr>
          <w:rFonts w:hint="eastAsia"/>
          <w:b/>
          <w:u w:val="single"/>
        </w:rPr>
      </w:pPr>
      <w:r w:rsidRPr="00917F35">
        <w:rPr>
          <w:rFonts w:hint="eastAsia"/>
          <w:b/>
          <w:u w:val="single"/>
        </w:rPr>
        <w:t>●</w:t>
      </w:r>
      <w:r w:rsidRPr="00917F35">
        <w:rPr>
          <w:rFonts w:hint="eastAsia"/>
          <w:b/>
          <w:u w:val="single"/>
        </w:rPr>
        <w:t>宮城県最低賃金を改正します</w:t>
      </w:r>
    </w:p>
    <w:p w:rsidR="00917F35" w:rsidRDefault="00917F35" w:rsidP="00917F35">
      <w:pPr>
        <w:rPr>
          <w:rFonts w:hint="eastAsia"/>
        </w:rPr>
      </w:pPr>
      <w:r>
        <w:rPr>
          <w:rFonts w:hint="eastAsia"/>
        </w:rPr>
        <w:t xml:space="preserve">　宮城県内で働くすべての労働者（臨時、パート、アルバイトを含む）に適用される最低賃金が、</w:t>
      </w:r>
      <w:r>
        <w:rPr>
          <w:rFonts w:hint="eastAsia"/>
        </w:rPr>
        <w:t>10</w:t>
      </w:r>
      <w:r>
        <w:rPr>
          <w:rFonts w:hint="eastAsia"/>
        </w:rPr>
        <w:t>月</w:t>
      </w:r>
      <w:r>
        <w:rPr>
          <w:rFonts w:hint="eastAsia"/>
        </w:rPr>
        <w:t>1</w:t>
      </w:r>
      <w:r>
        <w:rPr>
          <w:rFonts w:hint="eastAsia"/>
        </w:rPr>
        <w:t>日に改正となります。</w:t>
      </w:r>
    </w:p>
    <w:p w:rsidR="00917F35" w:rsidRDefault="00917F35" w:rsidP="00917F35">
      <w:pPr>
        <w:rPr>
          <w:rFonts w:hint="eastAsia"/>
        </w:rPr>
      </w:pPr>
      <w:r>
        <w:rPr>
          <w:rFonts w:hint="eastAsia"/>
        </w:rPr>
        <w:t xml:space="preserve">　なお、通勤手当や家族手当、時間外・休日・深夜手当などは最低賃金の計算に含まれません。</w:t>
      </w:r>
    </w:p>
    <w:p w:rsidR="00917F35" w:rsidRDefault="00917F35" w:rsidP="00917F35">
      <w:pPr>
        <w:rPr>
          <w:rFonts w:hint="eastAsia"/>
        </w:rPr>
      </w:pPr>
      <w:r>
        <w:rPr>
          <w:rFonts w:hint="eastAsia"/>
        </w:rPr>
        <w:t xml:space="preserve">効力発生日　</w:t>
      </w:r>
      <w:r>
        <w:rPr>
          <w:rFonts w:hint="eastAsia"/>
        </w:rPr>
        <w:t>10</w:t>
      </w:r>
      <w:r>
        <w:rPr>
          <w:rFonts w:hint="eastAsia"/>
        </w:rPr>
        <w:t>月</w:t>
      </w:r>
      <w:r>
        <w:rPr>
          <w:rFonts w:hint="eastAsia"/>
        </w:rPr>
        <w:t>1</w:t>
      </w:r>
      <w:r>
        <w:rPr>
          <w:rFonts w:hint="eastAsia"/>
        </w:rPr>
        <w:t>日</w:t>
      </w:r>
    </w:p>
    <w:p w:rsidR="00917F35" w:rsidRDefault="00917F35" w:rsidP="00917F35">
      <w:pPr>
        <w:rPr>
          <w:rFonts w:hint="eastAsia"/>
        </w:rPr>
      </w:pPr>
      <w:r>
        <w:rPr>
          <w:rFonts w:hint="eastAsia"/>
        </w:rPr>
        <w:t xml:space="preserve">時間額　</w:t>
      </w:r>
      <w:r>
        <w:rPr>
          <w:rFonts w:hint="eastAsia"/>
        </w:rPr>
        <w:t>772</w:t>
      </w:r>
      <w:r>
        <w:rPr>
          <w:rFonts w:hint="eastAsia"/>
        </w:rPr>
        <w:t>円</w:t>
      </w:r>
    </w:p>
    <w:p w:rsidR="00917F35" w:rsidRDefault="00917F35" w:rsidP="00917F35">
      <w:pPr>
        <w:rPr>
          <w:rFonts w:hint="eastAsia"/>
        </w:rPr>
      </w:pPr>
      <w:r>
        <w:rPr>
          <w:rFonts w:hint="eastAsia"/>
        </w:rPr>
        <w:t>宮城労働局賃金室</w:t>
      </w:r>
      <w:r>
        <w:rPr>
          <w:rFonts w:hint="eastAsia"/>
        </w:rPr>
        <w:t xml:space="preserve"> 022-299-8841</w:t>
      </w:r>
      <w:r>
        <w:rPr>
          <w:rFonts w:hint="eastAsia"/>
        </w:rPr>
        <w:t xml:space="preserve">　</w:t>
      </w:r>
      <w:r>
        <w:rPr>
          <w:rFonts w:hint="eastAsia"/>
        </w:rPr>
        <w:t xml:space="preserve"> </w:t>
      </w:r>
      <w:r>
        <w:rPr>
          <w:rFonts w:hint="eastAsia"/>
        </w:rPr>
        <w:t>または各労働基準監督署</w:t>
      </w:r>
    </w:p>
    <w:p w:rsidR="00917F35" w:rsidRDefault="00917F35" w:rsidP="00AF37E7">
      <w:pPr>
        <w:rPr>
          <w:rFonts w:hint="eastAsia"/>
        </w:rPr>
      </w:pPr>
    </w:p>
    <w:p w:rsidR="00917F35" w:rsidRPr="00917F35" w:rsidRDefault="00917F35" w:rsidP="00AF37E7">
      <w:pPr>
        <w:rPr>
          <w:rFonts w:hint="eastAsia"/>
        </w:rPr>
      </w:pPr>
    </w:p>
    <w:p w:rsidR="00917F35" w:rsidRPr="00893E1F" w:rsidRDefault="00917F35" w:rsidP="00917F35">
      <w:pPr>
        <w:rPr>
          <w:b/>
          <w:sz w:val="28"/>
          <w:szCs w:val="28"/>
        </w:rPr>
      </w:pPr>
      <w:r>
        <w:rPr>
          <w:rFonts w:hint="eastAsia"/>
          <w:b/>
          <w:sz w:val="28"/>
          <w:szCs w:val="28"/>
        </w:rPr>
        <w:t>防災ファイル</w:t>
      </w:r>
    </w:p>
    <w:p w:rsidR="00917F35" w:rsidRDefault="00917F35" w:rsidP="00AF37E7">
      <w:pPr>
        <w:rPr>
          <w:rFonts w:hint="eastAsia"/>
        </w:rPr>
      </w:pPr>
    </w:p>
    <w:p w:rsidR="00917F35" w:rsidRDefault="00917F35" w:rsidP="00917F35">
      <w:pPr>
        <w:rPr>
          <w:rFonts w:hint="eastAsia"/>
        </w:rPr>
      </w:pPr>
      <w:r>
        <w:rPr>
          <w:rFonts w:hint="eastAsia"/>
        </w:rPr>
        <w:t>●</w:t>
      </w:r>
      <w:r>
        <w:rPr>
          <w:rFonts w:hint="eastAsia"/>
        </w:rPr>
        <w:t>防災ファイル</w:t>
      </w:r>
      <w:r>
        <w:rPr>
          <w:rFonts w:hint="eastAsia"/>
        </w:rPr>
        <w:t xml:space="preserve">  vol.3</w:t>
      </w:r>
      <w:r>
        <w:rPr>
          <w:rFonts w:hint="eastAsia"/>
        </w:rPr>
        <w:t xml:space="preserve">　「</w:t>
      </w:r>
      <w:r>
        <w:rPr>
          <w:rFonts w:hint="eastAsia"/>
        </w:rPr>
        <w:t>J</w:t>
      </w:r>
      <w:r>
        <w:rPr>
          <w:rFonts w:hint="eastAsia"/>
        </w:rPr>
        <w:t>アラートが聞こえたときの行動」</w:t>
      </w:r>
    </w:p>
    <w:p w:rsidR="00917F35" w:rsidRDefault="00917F35" w:rsidP="00917F35">
      <w:pPr>
        <w:rPr>
          <w:rFonts w:hint="eastAsia"/>
        </w:rPr>
      </w:pPr>
      <w:r>
        <w:rPr>
          <w:rFonts w:hint="eastAsia"/>
        </w:rPr>
        <w:t xml:space="preserve">防災安全課消防・危機防災担当　</w:t>
      </w:r>
      <w:r>
        <w:rPr>
          <w:rFonts w:hint="eastAsia"/>
        </w:rPr>
        <w:t>23-5144</w:t>
      </w:r>
      <w:r>
        <w:rPr>
          <w:rFonts w:hint="eastAsia"/>
        </w:rPr>
        <w:tab/>
      </w:r>
    </w:p>
    <w:p w:rsidR="00917F35" w:rsidRDefault="00917F35" w:rsidP="00917F35">
      <w:pPr>
        <w:rPr>
          <w:rFonts w:hint="eastAsia"/>
        </w:rPr>
      </w:pPr>
      <w:r>
        <w:rPr>
          <w:rFonts w:hint="eastAsia"/>
        </w:rPr>
        <w:t>J</w:t>
      </w:r>
      <w:r>
        <w:rPr>
          <w:rFonts w:hint="eastAsia"/>
        </w:rPr>
        <w:t>アラートに関する詳しい情報は内閣官房国民保護ポータルサイト（</w:t>
      </w:r>
      <w:r>
        <w:rPr>
          <w:rFonts w:hint="eastAsia"/>
        </w:rPr>
        <w:t>http://www.kokuminhogo.go.jp/</w:t>
      </w:r>
      <w:r>
        <w:rPr>
          <w:rFonts w:hint="eastAsia"/>
        </w:rPr>
        <w:t>）で確認してください。</w:t>
      </w:r>
    </w:p>
    <w:p w:rsidR="00917F35" w:rsidRDefault="00917F35" w:rsidP="00AF37E7">
      <w:pPr>
        <w:rPr>
          <w:rFonts w:hint="eastAsia"/>
        </w:rPr>
      </w:pPr>
    </w:p>
    <w:p w:rsidR="00917F35" w:rsidRDefault="00917F35" w:rsidP="00917F35">
      <w:pPr>
        <w:rPr>
          <w:rFonts w:hint="eastAsia"/>
        </w:rPr>
      </w:pPr>
      <w:r>
        <w:rPr>
          <w:rFonts w:hint="eastAsia"/>
        </w:rPr>
        <w:t>■</w:t>
      </w:r>
      <w:r>
        <w:rPr>
          <w:rFonts w:hint="eastAsia"/>
        </w:rPr>
        <w:t>J</w:t>
      </w:r>
      <w:r>
        <w:rPr>
          <w:rFonts w:hint="eastAsia"/>
        </w:rPr>
        <w:t>アラート（緊急警報）は防災行政無線やメールで発信します</w:t>
      </w:r>
    </w:p>
    <w:p w:rsidR="00917F35" w:rsidRDefault="00917F35" w:rsidP="00917F35">
      <w:pPr>
        <w:rPr>
          <w:rFonts w:hint="eastAsia"/>
        </w:rPr>
      </w:pPr>
      <w:r>
        <w:rPr>
          <w:rFonts w:hint="eastAsia"/>
        </w:rPr>
        <w:t xml:space="preserve">　</w:t>
      </w:r>
      <w:r>
        <w:rPr>
          <w:rFonts w:hint="eastAsia"/>
        </w:rPr>
        <w:t>J</w:t>
      </w:r>
      <w:r>
        <w:rPr>
          <w:rFonts w:hint="eastAsia"/>
        </w:rPr>
        <w:t>アラートは、緊急警報を瞬時に伝達するためのシステムです。弾道ミサイルが日本を通過または落下する可能性のある場合は、</w:t>
      </w:r>
      <w:r>
        <w:rPr>
          <w:rFonts w:hint="eastAsia"/>
        </w:rPr>
        <w:t>J</w:t>
      </w:r>
      <w:r>
        <w:rPr>
          <w:rFonts w:hint="eastAsia"/>
        </w:rPr>
        <w:t>アラートを通じ防災行政無線でサイレンや情報を流すとともに、緊急速報メールなどで皆さんに情報を発信します。</w:t>
      </w:r>
    </w:p>
    <w:p w:rsidR="00917F35" w:rsidRDefault="00917F35" w:rsidP="00917F35"/>
    <w:p w:rsidR="00917F35" w:rsidRDefault="00917F35" w:rsidP="00917F35">
      <w:pPr>
        <w:rPr>
          <w:rFonts w:hint="eastAsia"/>
        </w:rPr>
      </w:pPr>
      <w:r>
        <w:rPr>
          <w:rFonts w:hint="eastAsia"/>
        </w:rPr>
        <w:t>■</w:t>
      </w:r>
      <w:r>
        <w:rPr>
          <w:rFonts w:hint="eastAsia"/>
        </w:rPr>
        <w:t>落ち着いて情報収集をしましょう</w:t>
      </w:r>
    </w:p>
    <w:p w:rsidR="00917F35" w:rsidRDefault="00917F35" w:rsidP="00917F35">
      <w:pPr>
        <w:rPr>
          <w:rFonts w:hint="eastAsia"/>
        </w:rPr>
      </w:pPr>
      <w:r>
        <w:rPr>
          <w:rFonts w:hint="eastAsia"/>
        </w:rPr>
        <w:t xml:space="preserve">　警報・テレビ・ラジオなどに耳を傾け、情報収集に努めましょう。</w:t>
      </w:r>
    </w:p>
    <w:p w:rsidR="00917F35" w:rsidRDefault="00917F35" w:rsidP="00AF37E7">
      <w:pPr>
        <w:rPr>
          <w:rFonts w:hint="eastAsia"/>
        </w:rPr>
      </w:pPr>
    </w:p>
    <w:p w:rsidR="00917F35" w:rsidRDefault="00917F35" w:rsidP="00AF37E7">
      <w:pPr>
        <w:rPr>
          <w:rFonts w:hint="eastAsia"/>
        </w:rPr>
      </w:pPr>
      <w:r>
        <w:rPr>
          <w:rFonts w:hint="eastAsia"/>
        </w:rPr>
        <w:t>■</w:t>
      </w:r>
      <w:r w:rsidRPr="00917F35">
        <w:rPr>
          <w:rFonts w:hint="eastAsia"/>
        </w:rPr>
        <w:t>ミサイル発射情報が発信された時の行動</w:t>
      </w:r>
    </w:p>
    <w:p w:rsidR="00917F35" w:rsidRDefault="00917F35" w:rsidP="00917F35">
      <w:pPr>
        <w:rPr>
          <w:rFonts w:hint="eastAsia"/>
        </w:rPr>
      </w:pPr>
      <w:r>
        <w:rPr>
          <w:rFonts w:hint="eastAsia"/>
        </w:rPr>
        <w:t xml:space="preserve">　弾道ミサイルは短時間で日本に到達します。落ち着いた行動ができるように確認しておきましょう。</w:t>
      </w:r>
    </w:p>
    <w:p w:rsidR="00917F35" w:rsidRDefault="00917F35" w:rsidP="00917F35">
      <w:pPr>
        <w:rPr>
          <w:rFonts w:hint="eastAsia"/>
        </w:rPr>
      </w:pPr>
      <w:r>
        <w:rPr>
          <w:rFonts w:hint="eastAsia"/>
        </w:rPr>
        <w:t>・</w:t>
      </w:r>
      <w:r>
        <w:rPr>
          <w:rFonts w:hint="eastAsia"/>
        </w:rPr>
        <w:t xml:space="preserve">屋内にいる場合　</w:t>
      </w:r>
    </w:p>
    <w:p w:rsidR="00917F35" w:rsidRDefault="00917F35" w:rsidP="00917F35">
      <w:pPr>
        <w:rPr>
          <w:rFonts w:hint="eastAsia"/>
        </w:rPr>
      </w:pPr>
      <w:r>
        <w:rPr>
          <w:rFonts w:hint="eastAsia"/>
        </w:rPr>
        <w:t xml:space="preserve">　弾道ミサイル着弾時の爆風や破片などから身を守るため、建物の扉や窓を全部閉め、ガス、水道、換気扇を止めてください。</w:t>
      </w:r>
    </w:p>
    <w:p w:rsidR="00917F35" w:rsidRDefault="00917F35" w:rsidP="00917F35">
      <w:pPr>
        <w:rPr>
          <w:rFonts w:hint="eastAsia"/>
        </w:rPr>
      </w:pPr>
      <w:r>
        <w:rPr>
          <w:rFonts w:hint="eastAsia"/>
        </w:rPr>
        <w:t xml:space="preserve">　扉、壁、窓ガラスから離れて身を伏せ、頭部を守ってください。</w:t>
      </w:r>
    </w:p>
    <w:p w:rsidR="00917F35" w:rsidRDefault="00917F35" w:rsidP="00917F35">
      <w:pPr>
        <w:rPr>
          <w:rFonts w:hint="eastAsia"/>
        </w:rPr>
      </w:pPr>
      <w:r>
        <w:rPr>
          <w:rFonts w:hint="eastAsia"/>
        </w:rPr>
        <w:t>・</w:t>
      </w:r>
      <w:r>
        <w:rPr>
          <w:rFonts w:hint="eastAsia"/>
        </w:rPr>
        <w:t>屋外にいる場合</w:t>
      </w:r>
    </w:p>
    <w:p w:rsidR="00917F35" w:rsidRDefault="00917F35" w:rsidP="00917F35">
      <w:pPr>
        <w:rPr>
          <w:rFonts w:hint="eastAsia"/>
        </w:rPr>
      </w:pPr>
      <w:r>
        <w:rPr>
          <w:rFonts w:hint="eastAsia"/>
        </w:rPr>
        <w:t xml:space="preserve">　近隣の建物や地下など、屋内に避難してください。建物がない場合は、物陰に身を隠すか、地面に伏せて頭部を守りましょう。</w:t>
      </w:r>
    </w:p>
    <w:p w:rsidR="00917F35" w:rsidRPr="00917F35" w:rsidRDefault="00917F35" w:rsidP="00917F35">
      <w:r>
        <w:rPr>
          <w:rFonts w:hint="eastAsia"/>
        </w:rPr>
        <w:lastRenderedPageBreak/>
        <w:t xml:space="preserve">　運転中の人は、道路外の場所に車両を止めてください。道路に車を置いて避難するときは、道路の左端に鍵を付けたまま駐車するなど、緊急通行車両を妨害しないようにしてください。</w:t>
      </w:r>
    </w:p>
    <w:sectPr w:rsidR="00917F35" w:rsidRPr="00917F35"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BF" w:rsidRDefault="00072BBF" w:rsidP="00234F69">
      <w:r>
        <w:separator/>
      </w:r>
    </w:p>
  </w:endnote>
  <w:endnote w:type="continuationSeparator" w:id="0">
    <w:p w:rsidR="00072BBF" w:rsidRDefault="00072BBF"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BF" w:rsidRDefault="00072BBF" w:rsidP="00234F69">
      <w:r>
        <w:separator/>
      </w:r>
    </w:p>
  </w:footnote>
  <w:footnote w:type="continuationSeparator" w:id="0">
    <w:p w:rsidR="00072BBF" w:rsidRDefault="00072BBF"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03667"/>
    <w:rsid w:val="00072BBF"/>
    <w:rsid w:val="00077CF4"/>
    <w:rsid w:val="001C18E6"/>
    <w:rsid w:val="001E6BA4"/>
    <w:rsid w:val="00234F69"/>
    <w:rsid w:val="00277834"/>
    <w:rsid w:val="00284EFD"/>
    <w:rsid w:val="00397FEA"/>
    <w:rsid w:val="003C4314"/>
    <w:rsid w:val="004633AF"/>
    <w:rsid w:val="00735F70"/>
    <w:rsid w:val="007F36D3"/>
    <w:rsid w:val="00862EEC"/>
    <w:rsid w:val="00893E1F"/>
    <w:rsid w:val="008C6D56"/>
    <w:rsid w:val="008E41A8"/>
    <w:rsid w:val="008E559D"/>
    <w:rsid w:val="00917F35"/>
    <w:rsid w:val="00945ADF"/>
    <w:rsid w:val="00AB30B4"/>
    <w:rsid w:val="00AD670E"/>
    <w:rsid w:val="00AF37E7"/>
    <w:rsid w:val="00B1062E"/>
    <w:rsid w:val="00B313B2"/>
    <w:rsid w:val="00BD2512"/>
    <w:rsid w:val="00CB6020"/>
    <w:rsid w:val="00CC361B"/>
    <w:rsid w:val="00CE1F76"/>
    <w:rsid w:val="00DC347D"/>
    <w:rsid w:val="00E119F4"/>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高橋優友</cp:lastModifiedBy>
  <cp:revision>9</cp:revision>
  <dcterms:created xsi:type="dcterms:W3CDTF">2017-08-19T05:48:00Z</dcterms:created>
  <dcterms:modified xsi:type="dcterms:W3CDTF">2017-09-20T04:58:00Z</dcterms:modified>
</cp:coreProperties>
</file>