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2"/>
        <w:spacing w:before="0" w:beforeLines="0" w:beforeAutospacing="0" w:after="0" w:afterLines="0" w:afterAutospacing="0" w:line="400" w:lineRule="exact"/>
        <w:jc w:val="both"/>
        <w:rPr>
          <w:rFonts w:hint="eastAsia" w:asciiTheme="minorEastAsia" w:hAnsiTheme="minorEastAsia" w:eastAsiaTheme="minorEastAsia"/>
          <w:b w:val="1"/>
          <w:sz w:val="28"/>
        </w:rPr>
      </w:pPr>
      <w:r>
        <w:rPr>
          <w:rFonts w:hint="eastAsia" w:asciiTheme="minorEastAsia" w:hAnsiTheme="minorEastAsia" w:eastAsiaTheme="minorEastAsia"/>
          <w:b w:val="1"/>
          <w:sz w:val="28"/>
        </w:rPr>
        <w:t>あなたの骨は大丈夫？</w:t>
      </w:r>
    </w:p>
    <w:p>
      <w:pPr>
        <w:pStyle w:val="22"/>
        <w:spacing w:before="0" w:beforeLines="0" w:beforeAutospacing="0" w:after="0" w:afterLines="0" w:afterAutospacing="0" w:line="400" w:lineRule="exact"/>
        <w:jc w:val="both"/>
        <w:rPr>
          <w:rFonts w:hint="eastAsia" w:asciiTheme="minorEastAsia" w:hAnsiTheme="minorEastAsia" w:eastAsiaTheme="minorEastAsia"/>
          <w:b w:val="0"/>
          <w:sz w:val="24"/>
        </w:rPr>
      </w:pPr>
      <w:r>
        <w:rPr>
          <w:rFonts w:hint="eastAsia" w:asciiTheme="minorEastAsia" w:hAnsiTheme="minorEastAsia" w:eastAsiaTheme="minorEastAsia"/>
          <w:b w:val="1"/>
          <w:sz w:val="28"/>
        </w:rPr>
        <w:t>～コツコツ</w:t>
      </w:r>
      <w:r>
        <w:rPr>
          <w:rFonts w:hint="eastAsia" w:asciiTheme="minorEastAsia" w:hAnsiTheme="minorEastAsia" w:eastAsiaTheme="minorEastAsia"/>
          <w:b w:val="1"/>
          <w:sz w:val="28"/>
        </w:rPr>
        <w:fldChar w:fldCharType="begin"/>
      </w:r>
      <w:r>
        <w:rPr>
          <w:rFonts w:hint="eastAsia" w:asciiTheme="minorEastAsia" w:hAnsiTheme="minorEastAsia" w:eastAsiaTheme="minorEastAsia"/>
          <w:b w:val="1"/>
          <w:sz w:val="28"/>
        </w:rPr>
        <w:instrText>EQ \* jc2 \* hps14 \o\ad(\s\up 13(</w:instrText>
      </w:r>
      <w:r>
        <w:rPr>
          <w:rFonts w:hint="eastAsia" w:ascii="ＭＳ 明朝" w:hAnsi="ＭＳ 明朝" w:eastAsia="ＭＳ 明朝"/>
          <w:sz w:val="14"/>
        </w:rPr>
        <w:instrText>ち</w:instrText>
      </w:r>
      <w:r>
        <w:rPr>
          <w:rFonts w:hint="eastAsia" w:ascii="ＭＳ 明朝" w:hAnsi="ＭＳ 明朝" w:eastAsia="ＭＳ 明朝"/>
          <w:sz w:val="14"/>
        </w:rPr>
        <w:instrText>ょ</w:instrText>
      </w:r>
      <w:r>
        <w:rPr>
          <w:rFonts w:hint="eastAsia" w:ascii="ＭＳ 明朝" w:hAnsi="ＭＳ 明朝" w:eastAsia="ＭＳ 明朝"/>
          <w:sz w:val="14"/>
        </w:rPr>
        <w:instrText>こ</w:instrText>
      </w:r>
      <w:r>
        <w:rPr>
          <w:rFonts w:hint="eastAsia" w:ascii="ＭＳ 明朝" w:hAnsi="ＭＳ 明朝" w:eastAsia="ＭＳ 明朝"/>
          <w:sz w:val="14"/>
        </w:rPr>
        <w:instrText>つ</w:instrText>
      </w:r>
      <w:r>
        <w:rPr>
          <w:rFonts w:hint="eastAsia" w:asciiTheme="minorEastAsia" w:hAnsiTheme="minorEastAsia" w:eastAsiaTheme="minorEastAsia"/>
          <w:b w:val="1"/>
          <w:sz w:val="28"/>
        </w:rPr>
        <w:instrText>),</w:instrText>
      </w:r>
      <w:r>
        <w:rPr>
          <w:rFonts w:hint="eastAsia" w:asciiTheme="minorEastAsia" w:hAnsiTheme="minorEastAsia" w:eastAsiaTheme="minorEastAsia"/>
          <w:b w:val="1"/>
          <w:sz w:val="28"/>
        </w:rPr>
        <w:instrText>貯骨</w:instrText>
      </w:r>
      <w:r>
        <w:rPr>
          <w:rFonts w:hint="eastAsia" w:asciiTheme="minorEastAsia" w:hAnsiTheme="minorEastAsia" w:eastAsiaTheme="minorEastAsia"/>
          <w:b w:val="1"/>
          <w:sz w:val="28"/>
        </w:rPr>
        <w:instrText>)</w:instrText>
      </w:r>
      <w:r>
        <w:rPr>
          <w:rFonts w:hint="eastAsia" w:asciiTheme="minorEastAsia" w:hAnsiTheme="minorEastAsia" w:eastAsiaTheme="minorEastAsia"/>
          <w:b w:val="1"/>
          <w:sz w:val="28"/>
        </w:rPr>
        <w:fldChar w:fldCharType="end"/>
      </w:r>
      <w:r>
        <w:rPr>
          <w:rFonts w:hint="eastAsia" w:asciiTheme="minorEastAsia" w:hAnsiTheme="minorEastAsia" w:eastAsiaTheme="minorEastAsia"/>
          <w:b w:val="1"/>
          <w:sz w:val="28"/>
        </w:rPr>
        <w:t>・生涯健骨～</w:t>
      </w:r>
    </w:p>
    <w:p>
      <w:pPr>
        <w:pStyle w:val="22"/>
        <w:spacing w:before="57" w:beforeLines="0" w:beforeAutospacing="0" w:line="240" w:lineRule="auto"/>
        <w:jc w:val="both"/>
        <w:rPr>
          <w:rFonts w:hint="eastAsia" w:asciiTheme="minorEastAsia" w:hAnsiTheme="minorEastAsia" w:eastAsiaTheme="minorEastAsia"/>
          <w:b w:val="1"/>
          <w:sz w:val="24"/>
        </w:rPr>
      </w:pPr>
      <w:r>
        <w:rPr>
          <w:rFonts w:hint="eastAsia" w:asciiTheme="minorEastAsia" w:hAnsiTheme="minorEastAsia" w:eastAsiaTheme="minorEastAsia"/>
          <w:b w:val="0"/>
          <w:sz w:val="24"/>
        </w:rPr>
        <w:t>問い合わせ</w:t>
      </w:r>
      <w:r>
        <w:rPr>
          <w:rFonts w:hint="eastAsia" w:asciiTheme="minorEastAsia" w:hAnsiTheme="minorEastAsia" w:eastAsiaTheme="minorEastAsia"/>
          <w:b w:val="0"/>
          <w:sz w:val="24"/>
        </w:rPr>
        <w:t xml:space="preserve"> </w:t>
      </w:r>
      <w:r>
        <w:rPr>
          <w:rFonts w:hint="eastAsia" w:asciiTheme="minorEastAsia" w:hAnsiTheme="minorEastAsia" w:eastAsiaTheme="minorEastAsia"/>
          <w:b w:val="0"/>
          <w:sz w:val="24"/>
        </w:rPr>
        <w:t>健康推進課健康増進担当</w:t>
      </w:r>
      <w:r>
        <w:rPr>
          <w:rFonts w:hint="eastAsia" w:asciiTheme="minorEastAsia" w:hAnsiTheme="minorEastAsia" w:eastAsiaTheme="minorEastAsia"/>
          <w:b w:val="0"/>
          <w:sz w:val="24"/>
        </w:rPr>
        <w:t xml:space="preserve"> </w:t>
      </w:r>
      <w:r>
        <w:rPr>
          <w:rFonts w:hint="eastAsia" w:asciiTheme="minorEastAsia" w:hAnsiTheme="minorEastAsia" w:eastAsiaTheme="minorEastAsia"/>
          <w:b w:val="0"/>
          <w:sz w:val="24"/>
        </w:rPr>
        <w:t>電話</w:t>
      </w:r>
      <w:r>
        <w:rPr>
          <w:rFonts w:hint="eastAsia" w:asciiTheme="minorEastAsia" w:hAnsiTheme="minorEastAsia" w:eastAsiaTheme="minorEastAsia"/>
          <w:b w:val="0"/>
          <w:sz w:val="24"/>
        </w:rPr>
        <w:t>23-2215</w:t>
      </w:r>
    </w:p>
    <w:p>
      <w:pPr>
        <w:pStyle w:val="22"/>
        <w:spacing w:before="57" w:beforeLines="0" w:beforeAutospacing="0" w:line="240" w:lineRule="auto"/>
        <w:jc w:val="both"/>
        <w:rPr>
          <w:rFonts w:hint="eastAsia" w:asciiTheme="minorEastAsia" w:hAnsiTheme="minorEastAsia" w:eastAsiaTheme="minorEastAsia"/>
          <w:b w:val="1"/>
          <w:sz w:val="24"/>
        </w:rPr>
      </w:pPr>
    </w:p>
    <w:p>
      <w:pPr>
        <w:pStyle w:val="22"/>
        <w:spacing w:before="57" w:beforeLines="0" w:beforeAutospacing="0" w:line="240" w:lineRule="auto"/>
        <w:ind w:left="0" w:leftChars="0" w:right="0" w:rightChars="0" w:firstLine="240" w:firstLineChars="100"/>
        <w:jc w:val="both"/>
        <w:rPr>
          <w:rFonts w:hint="eastAsia" w:asciiTheme="minorEastAsia" w:hAnsiTheme="minorEastAsia" w:eastAsiaTheme="minorEastAsia"/>
          <w:b w:val="0"/>
          <w:sz w:val="24"/>
        </w:rPr>
      </w:pPr>
      <w:r>
        <w:rPr>
          <w:rFonts w:hint="eastAsia" w:asciiTheme="minorEastAsia" w:hAnsiTheme="minorEastAsia" w:eastAsiaTheme="minorEastAsia"/>
          <w:b w:val="0"/>
          <w:sz w:val="24"/>
        </w:rPr>
        <w:t>市では、</w:t>
      </w:r>
      <w:r>
        <w:rPr>
          <w:rFonts w:hint="eastAsia" w:asciiTheme="minorEastAsia" w:hAnsiTheme="minorEastAsia" w:eastAsiaTheme="minorEastAsia"/>
          <w:b w:val="0"/>
          <w:sz w:val="24"/>
        </w:rPr>
        <w:t>3</w:t>
      </w:r>
      <w:r>
        <w:rPr>
          <w:rFonts w:hint="eastAsia" w:asciiTheme="minorEastAsia" w:hAnsiTheme="minorEastAsia" w:eastAsiaTheme="minorEastAsia"/>
          <w:b w:val="0"/>
          <w:sz w:val="24"/>
        </w:rPr>
        <w:t>年連続で「骨折」が増加しています。高齢者が転倒して骨折するケースが多く、その要因には骨粗しょう症の増加やコロナ禍での自粛生活による筋力低下が挙げられます。</w:t>
      </w:r>
    </w:p>
    <w:p>
      <w:pPr>
        <w:pStyle w:val="22"/>
        <w:spacing w:before="57" w:beforeLines="0" w:beforeAutospacing="0" w:line="240" w:lineRule="auto"/>
        <w:ind w:left="0" w:leftChars="0" w:right="0" w:rightChars="0" w:firstLine="240" w:firstLineChars="100"/>
        <w:jc w:val="both"/>
        <w:rPr>
          <w:rFonts w:hint="eastAsia" w:asciiTheme="minorEastAsia" w:hAnsiTheme="minorEastAsia" w:eastAsiaTheme="minorEastAsia"/>
          <w:b w:val="0"/>
          <w:sz w:val="24"/>
        </w:rPr>
      </w:pPr>
      <w:r>
        <w:rPr>
          <w:rFonts w:hint="eastAsia" w:asciiTheme="minorEastAsia" w:hAnsiTheme="minorEastAsia" w:eastAsiaTheme="minorEastAsia"/>
          <w:b w:val="0"/>
          <w:sz w:val="24"/>
        </w:rPr>
        <w:t>骨折が原因で要介護状態になることもあり、健康寿命を縮めることに直結します。</w:t>
      </w:r>
    </w:p>
    <w:p>
      <w:pPr>
        <w:pStyle w:val="22"/>
        <w:spacing w:before="57" w:beforeLines="0" w:beforeAutospacing="0" w:line="240" w:lineRule="auto"/>
        <w:ind w:left="0" w:leftChars="0" w:right="0" w:rightChars="0" w:firstLine="240" w:firstLineChars="100"/>
        <w:jc w:val="both"/>
        <w:rPr>
          <w:rFonts w:hint="eastAsia" w:asciiTheme="minorEastAsia" w:hAnsiTheme="minorEastAsia" w:eastAsiaTheme="minorEastAsia"/>
          <w:b w:val="0"/>
          <w:sz w:val="24"/>
        </w:rPr>
      </w:pPr>
      <w:r>
        <w:rPr>
          <w:rFonts w:hint="eastAsia" w:asciiTheme="minorEastAsia" w:hAnsiTheme="minorEastAsia" w:eastAsiaTheme="minorEastAsia"/>
          <w:b w:val="0"/>
          <w:sz w:val="24"/>
        </w:rPr>
        <w:t>元気で健康な生活を送るためにも、骨粗しょう症の予防に努めましょう。</w:t>
      </w:r>
    </w:p>
    <w:p>
      <w:pPr>
        <w:pStyle w:val="19"/>
        <w:spacing w:line="240" w:lineRule="auto"/>
        <w:ind w:left="0" w:leftChars="0" w:firstLine="0" w:firstLineChars="0"/>
        <w:jc w:val="both"/>
        <w:rPr>
          <w:rFonts w:hint="eastAsia" w:asciiTheme="minorEastAsia" w:hAnsiTheme="minorEastAsia" w:eastAsiaTheme="minorEastAsia"/>
          <w:sz w:val="24"/>
        </w:rPr>
      </w:pPr>
    </w:p>
    <w:p>
      <w:pPr>
        <w:pStyle w:val="19"/>
        <w:spacing w:line="240" w:lineRule="auto"/>
        <w:ind w:left="0"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b w:val="1"/>
          <w:sz w:val="24"/>
        </w:rPr>
        <w:t>骨粗しょう症とは</w:t>
      </w:r>
    </w:p>
    <w:p>
      <w:pPr>
        <w:pStyle w:val="19"/>
        <w:spacing w:line="240" w:lineRule="auto"/>
        <w:ind w:left="0"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　骨の中がすかすかでもろくなり、骨折しやすくなる病気です。</w:t>
      </w:r>
    </w:p>
    <w:p>
      <w:pPr>
        <w:pStyle w:val="19"/>
        <w:spacing w:line="240" w:lineRule="auto"/>
        <w:ind w:left="0"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　健康な骨は、新しい骨を作る「</w:t>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こ</w:instrText>
      </w:r>
      <w:r>
        <w:rPr>
          <w:rFonts w:hint="eastAsia" w:ascii="ＭＳ 明朝" w:hAnsi="ＭＳ 明朝" w:eastAsia="ＭＳ 明朝"/>
          <w:sz w:val="12"/>
        </w:rPr>
        <w:instrText>つ</w:instrText>
      </w:r>
      <w:r>
        <w:rPr>
          <w:rFonts w:hint="eastAsia" w:ascii="ＭＳ 明朝" w:hAnsi="ＭＳ 明朝" w:eastAsia="ＭＳ 明朝"/>
          <w:sz w:val="12"/>
        </w:rPr>
        <w:instrText>が</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骨芽</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細胞」と骨を破壊する「</w:t>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は</w:instrText>
      </w:r>
      <w:r>
        <w:rPr>
          <w:rFonts w:hint="eastAsia" w:ascii="ＭＳ 明朝" w:hAnsi="ＭＳ 明朝" w:eastAsia="ＭＳ 明朝"/>
          <w:sz w:val="12"/>
        </w:rPr>
        <w:instrText>こ</w:instrText>
      </w:r>
      <w:r>
        <w:rPr>
          <w:rFonts w:hint="eastAsia" w:ascii="ＭＳ 明朝" w:hAnsi="ＭＳ 明朝" w:eastAsia="ＭＳ 明朝"/>
          <w:sz w:val="12"/>
        </w:rPr>
        <w:instrText>つ</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破骨</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細胞」が、常に新陳代謝を繰り返して骨量を一定に保っています。しかし、加齢や生活習慣などにより、新陳代謝のバランスが崩れ、破骨細胞の働きが強くなった状態が続くと、骨量が減少し骨がもろくなります。また、遺伝的な骨の質も関係します。</w:t>
      </w:r>
    </w:p>
    <w:p>
      <w:pPr>
        <w:pStyle w:val="19"/>
        <w:spacing w:line="240" w:lineRule="auto"/>
        <w:ind w:left="0"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　骨量のピークは</w:t>
      </w:r>
      <w:r>
        <w:rPr>
          <w:rFonts w:hint="eastAsia" w:asciiTheme="minorEastAsia" w:hAnsiTheme="minorEastAsia" w:eastAsiaTheme="minorEastAsia"/>
          <w:sz w:val="24"/>
        </w:rPr>
        <w:t>20</w:t>
      </w:r>
      <w:r>
        <w:rPr>
          <w:rFonts w:hint="eastAsia" w:asciiTheme="minorEastAsia" w:hAnsiTheme="minorEastAsia" w:eastAsiaTheme="minorEastAsia"/>
          <w:sz w:val="24"/>
        </w:rPr>
        <w:t>歳前後といわれています。若い頃から、骨量をためておく骨の貯金「貯骨」により、最大骨量を高め、維持し、急激に減少させないことが重要です。（下図参照）</w:t>
      </w:r>
    </w:p>
    <w:p>
      <w:pPr>
        <w:pStyle w:val="19"/>
        <w:spacing w:line="240" w:lineRule="auto"/>
        <w:ind w:left="0"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図：年齢と閉経に伴う骨量の変化</w:t>
      </w:r>
    </w:p>
    <w:p>
      <w:pPr>
        <w:pStyle w:val="19"/>
        <w:spacing w:line="240" w:lineRule="auto"/>
        <w:ind w:left="0" w:leftChars="0" w:firstLine="0" w:firstLineChars="0"/>
        <w:jc w:val="both"/>
        <w:rPr>
          <w:rFonts w:hint="eastAsia" w:asciiTheme="minorEastAsia" w:hAnsiTheme="minorEastAsia" w:eastAsiaTheme="minorEastAsia"/>
          <w:sz w:val="24"/>
        </w:rPr>
      </w:pPr>
    </w:p>
    <w:p>
      <w:pPr>
        <w:pStyle w:val="19"/>
        <w:spacing w:line="240" w:lineRule="auto"/>
        <w:ind w:left="0" w:leftChars="0" w:firstLine="0" w:firstLineChars="0"/>
        <w:jc w:val="both"/>
        <w:rPr>
          <w:rFonts w:hint="eastAsia" w:asciiTheme="minorEastAsia" w:hAnsiTheme="minorEastAsia" w:eastAsiaTheme="minorEastAsia"/>
          <w:b w:val="1"/>
          <w:sz w:val="24"/>
        </w:rPr>
      </w:pPr>
      <w:r>
        <w:rPr>
          <w:rFonts w:hint="eastAsia" w:asciiTheme="minorEastAsia" w:hAnsiTheme="minorEastAsia" w:eastAsiaTheme="minorEastAsia"/>
          <w:b w:val="1"/>
          <w:sz w:val="24"/>
        </w:rPr>
        <w:t>予防のポイント</w:t>
      </w:r>
    </w:p>
    <w:p>
      <w:pPr>
        <w:pStyle w:val="19"/>
        <w:spacing w:line="240" w:lineRule="auto"/>
        <w:ind w:left="0"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　骨量を増加・維持するため、バランスの取れた食事や運動を心がけましょう。また、過度なダイエットや食事制限などは、骨粗しょう症のリスクを高めるので注意が必要です。</w:t>
      </w:r>
    </w:p>
    <w:p>
      <w:pPr>
        <w:pStyle w:val="19"/>
        <w:spacing w:line="240" w:lineRule="auto"/>
        <w:ind w:left="0"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b w:val="0"/>
          <w:sz w:val="24"/>
        </w:rPr>
        <w:t>①カルシウムを摂取</w:t>
      </w:r>
    </w:p>
    <w:p>
      <w:pPr>
        <w:pStyle w:val="19"/>
        <w:spacing w:line="240" w:lineRule="auto"/>
        <w:ind w:left="0"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　骨の主成分であるカルシウムを含む乳製品や大豆製品、緑黄色野菜や小魚を食事に取り入れましょう。</w:t>
      </w:r>
    </w:p>
    <w:p>
      <w:pPr>
        <w:pStyle w:val="19"/>
        <w:spacing w:line="240" w:lineRule="auto"/>
        <w:ind w:left="0"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②効果的な栄養素を摂取</w:t>
      </w:r>
    </w:p>
    <w:p>
      <w:pPr>
        <w:pStyle w:val="19"/>
        <w:spacing w:line="240" w:lineRule="auto"/>
        <w:ind w:left="0"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　【ビタミンＤ】カルシウムの吸収を高めます。</w:t>
      </w:r>
    </w:p>
    <w:p>
      <w:pPr>
        <w:pStyle w:val="19"/>
        <w:spacing w:line="240" w:lineRule="auto"/>
        <w:ind w:left="0"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　例</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サケ・卵・干しシイタケなど</w:t>
      </w:r>
    </w:p>
    <w:p>
      <w:pPr>
        <w:pStyle w:val="19"/>
        <w:spacing w:line="240" w:lineRule="auto"/>
        <w:ind w:left="0"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　【ビタミンＫ】骨の形成を促します。</w:t>
      </w:r>
    </w:p>
    <w:p>
      <w:pPr>
        <w:pStyle w:val="19"/>
        <w:spacing w:line="240" w:lineRule="auto"/>
        <w:ind w:left="0"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　例</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ほうれん草・ひじきなど</w:t>
      </w:r>
    </w:p>
    <w:p>
      <w:pPr>
        <w:pStyle w:val="19"/>
        <w:spacing w:line="240" w:lineRule="auto"/>
        <w:ind w:left="0"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③危険因子を取り除く</w:t>
      </w:r>
    </w:p>
    <w:p>
      <w:pPr>
        <w:pStyle w:val="19"/>
        <w:spacing w:line="240" w:lineRule="auto"/>
        <w:ind w:left="0"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　カルシウムの吸収を阻害するリンや塩分、カフェインやアルコールの過剰摂取を控えましょう。</w:t>
      </w:r>
    </w:p>
    <w:p>
      <w:pPr>
        <w:pStyle w:val="19"/>
        <w:spacing w:line="240" w:lineRule="auto"/>
        <w:ind w:left="0" w:leftChars="0" w:firstLine="0" w:firstLineChars="0"/>
        <w:jc w:val="both"/>
        <w:rPr>
          <w:rFonts w:hint="eastAsia" w:asciiTheme="minorEastAsia" w:hAnsiTheme="minorEastAsia" w:eastAsiaTheme="minorEastAsia"/>
          <w:b w:val="1"/>
          <w:sz w:val="24"/>
        </w:rPr>
      </w:pPr>
    </w:p>
    <w:p>
      <w:pPr>
        <w:pStyle w:val="19"/>
        <w:spacing w:line="240" w:lineRule="auto"/>
        <w:ind w:left="0" w:leftChars="0" w:firstLine="0" w:firstLineChars="0"/>
        <w:jc w:val="both"/>
        <w:rPr>
          <w:rFonts w:hint="eastAsia" w:asciiTheme="minorEastAsia" w:hAnsiTheme="minorEastAsia" w:eastAsiaTheme="minorEastAsia"/>
          <w:b w:val="1"/>
          <w:sz w:val="24"/>
        </w:rPr>
      </w:pPr>
      <w:r>
        <w:rPr>
          <w:rFonts w:hint="eastAsia" w:asciiTheme="minorEastAsia" w:hAnsiTheme="minorEastAsia" w:eastAsiaTheme="minorEastAsia"/>
          <w:b w:val="1"/>
          <w:sz w:val="24"/>
        </w:rPr>
        <w:t>市民健診や病院の受診</w:t>
      </w:r>
    </w:p>
    <w:p>
      <w:pPr>
        <w:pStyle w:val="19"/>
        <w:spacing w:line="240" w:lineRule="auto"/>
        <w:ind w:left="0"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　特に女性は、</w:t>
      </w:r>
      <w:r>
        <w:rPr>
          <w:rFonts w:hint="eastAsia" w:asciiTheme="minorEastAsia" w:hAnsiTheme="minorEastAsia" w:eastAsiaTheme="minorEastAsia"/>
          <w:sz w:val="24"/>
        </w:rPr>
        <w:t>40</w:t>
      </w:r>
      <w:r>
        <w:rPr>
          <w:rFonts w:hint="eastAsia" w:asciiTheme="minorEastAsia" w:hAnsiTheme="minorEastAsia" w:eastAsiaTheme="minorEastAsia"/>
          <w:sz w:val="24"/>
        </w:rPr>
        <w:t>歳を過ぎたら骨量を定期的に検査しましょう。また、背中が丸くなるなどの自覚症状がある場合は、整形外科を受診しましょう。</w:t>
      </w:r>
    </w:p>
    <w:p>
      <w:pPr>
        <w:pStyle w:val="19"/>
        <w:spacing w:line="240" w:lineRule="auto"/>
        <w:ind w:left="0" w:leftChars="0" w:firstLine="0" w:firstLineChars="0"/>
        <w:jc w:val="both"/>
        <w:rPr>
          <w:rFonts w:hint="eastAsia" w:asciiTheme="minorEastAsia" w:hAnsiTheme="minorEastAsia" w:eastAsiaTheme="minorEastAsia"/>
          <w:sz w:val="24"/>
        </w:rPr>
      </w:pPr>
    </w:p>
    <w:p>
      <w:pPr>
        <w:pStyle w:val="19"/>
        <w:spacing w:line="240" w:lineRule="auto"/>
        <w:ind w:left="0" w:leftChars="0" w:firstLine="0" w:firstLineChars="0"/>
        <w:jc w:val="both"/>
        <w:rPr>
          <w:rFonts w:hint="eastAsia" w:asciiTheme="minorEastAsia" w:hAnsiTheme="minorEastAsia" w:eastAsiaTheme="minorEastAsia"/>
          <w:b w:val="0"/>
          <w:sz w:val="24"/>
        </w:rPr>
      </w:pPr>
    </w:p>
    <w:p>
      <w:pPr>
        <w:pStyle w:val="19"/>
        <w:spacing w:line="240" w:lineRule="auto"/>
        <w:ind w:left="0" w:leftChars="0" w:firstLine="0" w:firstLineChars="0"/>
        <w:jc w:val="both"/>
        <w:rPr>
          <w:rFonts w:hint="eastAsia" w:asciiTheme="minorEastAsia" w:hAnsiTheme="minorEastAsia" w:eastAsiaTheme="minorEastAsia"/>
          <w:b w:val="1"/>
          <w:sz w:val="24"/>
        </w:rPr>
      </w:pPr>
      <w:r>
        <w:rPr>
          <w:rFonts w:hint="eastAsia" w:asciiTheme="minorEastAsia" w:hAnsiTheme="minorEastAsia" w:eastAsiaTheme="minorEastAsia"/>
          <w:b w:val="1"/>
          <w:sz w:val="24"/>
        </w:rPr>
        <w:t>令和６年度おおさき市民健診の申し込みが始まります</w:t>
      </w:r>
    </w:p>
    <w:p>
      <w:pPr>
        <w:pStyle w:val="19"/>
        <w:spacing w:line="240" w:lineRule="auto"/>
        <w:ind w:left="0" w:leftChars="0" w:firstLine="0" w:firstLineChars="0"/>
        <w:jc w:val="both"/>
        <w:rPr>
          <w:rFonts w:hint="eastAsia" w:asciiTheme="minorEastAsia" w:hAnsiTheme="minorEastAsia" w:eastAsiaTheme="minorEastAsia"/>
          <w:b w:val="1"/>
          <w:sz w:val="24"/>
        </w:rPr>
      </w:pPr>
      <w:r>
        <w:rPr>
          <w:rFonts w:hint="eastAsia" w:asciiTheme="minorEastAsia" w:hAnsiTheme="minorEastAsia" w:eastAsiaTheme="minorEastAsia"/>
          <w:b w:val="0"/>
          <w:sz w:val="24"/>
        </w:rPr>
        <w:t>問い合わせ</w:t>
      </w:r>
      <w:r>
        <w:rPr>
          <w:rFonts w:hint="eastAsia" w:asciiTheme="minorEastAsia" w:hAnsiTheme="minorEastAsia" w:eastAsiaTheme="minorEastAsia"/>
          <w:b w:val="0"/>
          <w:sz w:val="24"/>
        </w:rPr>
        <w:t xml:space="preserve"> </w:t>
      </w:r>
      <w:r>
        <w:rPr>
          <w:rFonts w:hint="eastAsia" w:asciiTheme="minorEastAsia" w:hAnsiTheme="minorEastAsia" w:eastAsiaTheme="minorEastAsia"/>
          <w:b w:val="0"/>
          <w:sz w:val="24"/>
        </w:rPr>
        <w:t>健康推進課健康増進担当</w:t>
      </w:r>
      <w:r>
        <w:rPr>
          <w:rFonts w:hint="eastAsia" w:asciiTheme="minorEastAsia" w:hAnsiTheme="minorEastAsia" w:eastAsiaTheme="minorEastAsia"/>
          <w:b w:val="0"/>
          <w:sz w:val="24"/>
        </w:rPr>
        <w:t xml:space="preserve"> </w:t>
      </w:r>
      <w:r>
        <w:rPr>
          <w:rFonts w:hint="eastAsia" w:asciiTheme="minorEastAsia" w:hAnsiTheme="minorEastAsia" w:eastAsiaTheme="minorEastAsia"/>
          <w:b w:val="0"/>
          <w:sz w:val="24"/>
        </w:rPr>
        <w:t>電話</w:t>
      </w:r>
      <w:r>
        <w:rPr>
          <w:rFonts w:hint="eastAsia" w:asciiTheme="minorEastAsia" w:hAnsiTheme="minorEastAsia" w:eastAsiaTheme="minorEastAsia"/>
          <w:b w:val="0"/>
          <w:sz w:val="24"/>
        </w:rPr>
        <w:t>23-2215</w:t>
      </w:r>
    </w:p>
    <w:p>
      <w:pPr>
        <w:pStyle w:val="19"/>
        <w:spacing w:line="240" w:lineRule="auto"/>
        <w:ind w:left="0" w:leftChars="0" w:firstLine="0" w:firstLineChars="0"/>
        <w:jc w:val="both"/>
        <w:rPr>
          <w:rFonts w:hint="eastAsia" w:asciiTheme="minorEastAsia" w:hAnsiTheme="minorEastAsia" w:eastAsiaTheme="minorEastAsia"/>
          <w:b w:val="1"/>
          <w:sz w:val="24"/>
        </w:rPr>
      </w:pPr>
      <w:r>
        <w:rPr>
          <w:rFonts w:hint="eastAsia" w:asciiTheme="minorEastAsia" w:hAnsiTheme="minorEastAsia" w:eastAsiaTheme="minorEastAsia"/>
          <w:b w:val="0"/>
          <w:sz w:val="24"/>
        </w:rPr>
        <w:t>　　　　　</w:t>
      </w:r>
      <w:r>
        <w:rPr>
          <w:rFonts w:hint="eastAsia" w:asciiTheme="minorEastAsia" w:hAnsiTheme="minorEastAsia" w:eastAsiaTheme="minorEastAsia"/>
          <w:b w:val="0"/>
          <w:sz w:val="24"/>
        </w:rPr>
        <w:t xml:space="preserve"> </w:t>
      </w:r>
      <w:r>
        <w:rPr>
          <w:rFonts w:hint="eastAsia" w:asciiTheme="minorEastAsia" w:hAnsiTheme="minorEastAsia" w:eastAsiaTheme="minorEastAsia"/>
          <w:b w:val="0"/>
          <w:sz w:val="24"/>
        </w:rPr>
        <w:t>各総合支所市民福祉課</w:t>
      </w:r>
    </w:p>
    <w:p>
      <w:pPr>
        <w:pStyle w:val="19"/>
        <w:spacing w:line="240" w:lineRule="auto"/>
        <w:ind w:left="0" w:leftChars="0" w:firstLine="0" w:firstLineChars="0"/>
        <w:jc w:val="both"/>
        <w:rPr>
          <w:rFonts w:hint="eastAsia" w:asciiTheme="minorEastAsia" w:hAnsiTheme="minorEastAsia" w:eastAsiaTheme="minorEastAsia"/>
          <w:b w:val="1"/>
          <w:sz w:val="24"/>
        </w:rPr>
      </w:pPr>
    </w:p>
    <w:p>
      <w:pPr>
        <w:pStyle w:val="19"/>
        <w:spacing w:line="240" w:lineRule="auto"/>
        <w:ind w:left="0" w:leftChars="0" w:firstLine="0" w:firstLineChars="0"/>
        <w:jc w:val="both"/>
        <w:rPr>
          <w:rFonts w:hint="eastAsia" w:asciiTheme="minorEastAsia" w:hAnsiTheme="minorEastAsia" w:eastAsiaTheme="minorEastAsia"/>
          <w:b w:val="1"/>
          <w:sz w:val="24"/>
        </w:rPr>
      </w:pPr>
      <w:r>
        <w:rPr>
          <w:rFonts w:hint="eastAsia" w:asciiTheme="minorEastAsia" w:hAnsiTheme="minorEastAsia" w:eastAsiaTheme="minorEastAsia"/>
          <w:b w:val="0"/>
          <w:sz w:val="24"/>
        </w:rPr>
        <w:t>　全世帯（世帯主宛て）に市民健診のお知らせと申込書を、</w:t>
      </w:r>
      <w:r>
        <w:rPr>
          <w:rFonts w:hint="eastAsia" w:asciiTheme="minorEastAsia" w:hAnsiTheme="minorEastAsia" w:eastAsiaTheme="minorEastAsia"/>
          <w:b w:val="0"/>
          <w:sz w:val="24"/>
        </w:rPr>
        <w:t>2</w:t>
      </w:r>
      <w:r>
        <w:rPr>
          <w:rFonts w:hint="eastAsia" w:asciiTheme="minorEastAsia" w:hAnsiTheme="minorEastAsia" w:eastAsiaTheme="minorEastAsia"/>
          <w:b w:val="0"/>
          <w:sz w:val="24"/>
        </w:rPr>
        <w:t>月上旬に郵送します。内容を確認の上、忘れずに申し込みましょう。なお、市民健診を受けない場合でも、理由を記入して提出してください。</w:t>
      </w:r>
    </w:p>
    <w:p>
      <w:pPr>
        <w:pStyle w:val="19"/>
        <w:spacing w:line="240" w:lineRule="auto"/>
        <w:ind w:left="0" w:leftChars="0" w:firstLine="0" w:firstLineChars="0"/>
        <w:jc w:val="both"/>
        <w:rPr>
          <w:rFonts w:hint="eastAsia" w:asciiTheme="minorEastAsia" w:hAnsiTheme="minorEastAsia" w:eastAsiaTheme="minorEastAsia"/>
          <w:b w:val="1"/>
          <w:sz w:val="24"/>
        </w:rPr>
      </w:pPr>
      <w:r>
        <w:rPr>
          <w:rFonts w:hint="eastAsia" w:asciiTheme="minorEastAsia" w:hAnsiTheme="minorEastAsia" w:eastAsiaTheme="minorEastAsia"/>
          <w:b w:val="0"/>
          <w:sz w:val="24"/>
        </w:rPr>
        <w:t>申込期限　</w:t>
      </w:r>
      <w:r>
        <w:rPr>
          <w:rFonts w:hint="eastAsia" w:asciiTheme="minorEastAsia" w:hAnsiTheme="minorEastAsia" w:eastAsiaTheme="minorEastAsia"/>
          <w:b w:val="0"/>
          <w:sz w:val="24"/>
        </w:rPr>
        <w:t>2</w:t>
      </w:r>
      <w:r>
        <w:rPr>
          <w:rFonts w:hint="eastAsia" w:asciiTheme="minorEastAsia" w:hAnsiTheme="minorEastAsia" w:eastAsiaTheme="minorEastAsia"/>
          <w:b w:val="0"/>
          <w:sz w:val="24"/>
        </w:rPr>
        <w:t>月</w:t>
      </w:r>
      <w:r>
        <w:rPr>
          <w:rFonts w:hint="eastAsia" w:asciiTheme="minorEastAsia" w:hAnsiTheme="minorEastAsia" w:eastAsiaTheme="minorEastAsia"/>
          <w:b w:val="0"/>
          <w:sz w:val="24"/>
        </w:rPr>
        <w:t>20</w:t>
      </w:r>
      <w:r>
        <w:rPr>
          <w:rFonts w:hint="eastAsia" w:asciiTheme="minorEastAsia" w:hAnsiTheme="minorEastAsia" w:eastAsiaTheme="minorEastAsia"/>
          <w:b w:val="0"/>
          <w:sz w:val="24"/>
        </w:rPr>
        <w:t>日（火曜日）</w:t>
      </w:r>
    </w:p>
    <w:p>
      <w:pPr>
        <w:pStyle w:val="19"/>
        <w:spacing w:line="240" w:lineRule="auto"/>
        <w:ind w:left="0" w:leftChars="0" w:firstLine="0" w:firstLineChars="0"/>
        <w:jc w:val="both"/>
        <w:rPr>
          <w:rFonts w:hint="eastAsia" w:asciiTheme="minorEastAsia" w:hAnsiTheme="minorEastAsia" w:eastAsiaTheme="minorEastAsia"/>
          <w:b w:val="0"/>
          <w:sz w:val="24"/>
        </w:rPr>
      </w:pPr>
      <w:r>
        <w:rPr>
          <w:rFonts w:hint="eastAsia" w:asciiTheme="minorEastAsia" w:hAnsiTheme="minorEastAsia" w:eastAsiaTheme="minorEastAsia"/>
          <w:b w:val="0"/>
          <w:sz w:val="24"/>
        </w:rPr>
        <w:t>申込方法　郵送された申込書（はがき）を投函、またはオンライン申請（みやぎ電子申請サービス）で申し込み</w:t>
      </w:r>
    </w:p>
    <w:p>
      <w:pPr>
        <w:pStyle w:val="19"/>
        <w:spacing w:line="240" w:lineRule="auto"/>
        <w:ind w:left="0" w:leftChars="0" w:firstLine="0" w:firstLineChars="0"/>
        <w:jc w:val="both"/>
        <w:rPr>
          <w:rFonts w:hint="eastAsia" w:asciiTheme="minorEastAsia" w:hAnsiTheme="minorEastAsia" w:eastAsiaTheme="minorEastAsia"/>
          <w:b w:val="1"/>
          <w:sz w:val="24"/>
        </w:rPr>
      </w:pPr>
      <w:r>
        <w:rPr>
          <w:rFonts w:hint="eastAsia" w:asciiTheme="minorEastAsia" w:hAnsiTheme="minorEastAsia" w:eastAsiaTheme="minorEastAsia"/>
          <w:b w:val="0"/>
          <w:sz w:val="24"/>
        </w:rPr>
        <w:t>※オンライン申請（みやぎ電子申請サービス）は、</w:t>
      </w:r>
      <w:r>
        <w:rPr>
          <w:rFonts w:hint="eastAsia" w:asciiTheme="minorEastAsia" w:hAnsiTheme="minorEastAsia" w:eastAsiaTheme="minorEastAsia"/>
          <w:b w:val="0"/>
          <w:sz w:val="24"/>
        </w:rPr>
        <w:t>1</w:t>
      </w:r>
      <w:r>
        <w:rPr>
          <w:rFonts w:hint="eastAsia" w:asciiTheme="minorEastAsia" w:hAnsiTheme="minorEastAsia" w:eastAsiaTheme="minorEastAsia"/>
          <w:b w:val="0"/>
          <w:sz w:val="24"/>
        </w:rPr>
        <w:t>月</w:t>
      </w:r>
      <w:r>
        <w:rPr>
          <w:rFonts w:hint="eastAsia" w:asciiTheme="minorEastAsia" w:hAnsiTheme="minorEastAsia" w:eastAsiaTheme="minorEastAsia"/>
          <w:b w:val="0"/>
          <w:sz w:val="24"/>
        </w:rPr>
        <w:t>31</w:t>
      </w:r>
      <w:r>
        <w:rPr>
          <w:rFonts w:hint="eastAsia" w:asciiTheme="minorEastAsia" w:hAnsiTheme="minorEastAsia" w:eastAsiaTheme="minorEastAsia"/>
          <w:b w:val="0"/>
          <w:sz w:val="24"/>
        </w:rPr>
        <w:t>日（水曜日）から公開です。</w:t>
      </w:r>
    </w:p>
    <w:p>
      <w:pPr>
        <w:pStyle w:val="19"/>
        <w:spacing w:line="240" w:lineRule="auto"/>
        <w:ind w:left="0" w:leftChars="0" w:firstLine="0" w:firstLineChars="0"/>
        <w:jc w:val="both"/>
        <w:rPr>
          <w:rFonts w:hint="eastAsia" w:asciiTheme="minorEastAsia" w:hAnsiTheme="minorEastAsia" w:eastAsiaTheme="minorEastAsia"/>
          <w:b w:val="1"/>
          <w:sz w:val="24"/>
        </w:rPr>
      </w:pPr>
    </w:p>
    <w:p>
      <w:pPr>
        <w:pStyle w:val="19"/>
        <w:spacing w:line="240" w:lineRule="auto"/>
        <w:ind w:left="0" w:leftChars="0" w:firstLine="0" w:firstLineChars="0"/>
        <w:jc w:val="both"/>
        <w:rPr>
          <w:rFonts w:hint="eastAsia" w:asciiTheme="minorEastAsia" w:hAnsiTheme="minorEastAsia" w:eastAsiaTheme="minorEastAsia"/>
          <w:b w:val="1"/>
          <w:sz w:val="24"/>
        </w:rPr>
      </w:pPr>
      <w:r>
        <w:rPr>
          <w:rFonts w:hint="eastAsia" w:asciiTheme="minorEastAsia" w:hAnsiTheme="minorEastAsia" w:eastAsiaTheme="minorEastAsia"/>
          <w:b w:val="1"/>
          <w:sz w:val="24"/>
        </w:rPr>
        <w:t>令和</w:t>
      </w:r>
      <w:r>
        <w:rPr>
          <w:rFonts w:hint="eastAsia" w:asciiTheme="minorEastAsia" w:hAnsiTheme="minorEastAsia" w:eastAsiaTheme="minorEastAsia"/>
          <w:b w:val="1"/>
          <w:sz w:val="24"/>
        </w:rPr>
        <w:t>6</w:t>
      </w:r>
      <w:r>
        <w:rPr>
          <w:rFonts w:hint="eastAsia" w:asciiTheme="minorEastAsia" w:hAnsiTheme="minorEastAsia" w:eastAsiaTheme="minorEastAsia"/>
          <w:b w:val="1"/>
          <w:sz w:val="24"/>
        </w:rPr>
        <w:t>年度から市民健診の一部が変わります</w:t>
      </w:r>
    </w:p>
    <w:p>
      <w:pPr>
        <w:pStyle w:val="19"/>
        <w:spacing w:line="240" w:lineRule="auto"/>
        <w:ind w:left="0" w:leftChars="0" w:firstLine="0" w:firstLineChars="0"/>
        <w:jc w:val="both"/>
        <w:rPr>
          <w:rFonts w:hint="eastAsia" w:asciiTheme="minorEastAsia" w:hAnsiTheme="minorEastAsia" w:eastAsiaTheme="minorEastAsia"/>
          <w:b w:val="0"/>
          <w:sz w:val="24"/>
        </w:rPr>
      </w:pPr>
      <w:r>
        <w:rPr>
          <w:rFonts w:hint="eastAsia" w:asciiTheme="minorEastAsia" w:hAnsiTheme="minorEastAsia" w:eastAsiaTheme="minorEastAsia"/>
          <w:b w:val="0"/>
          <w:sz w:val="24"/>
        </w:rPr>
        <w:t>■古川地域を含めた市内全地域の実施体制が、全ての健診を同日に行う総合健診となります。</w:t>
      </w:r>
    </w:p>
    <w:p>
      <w:pPr>
        <w:pStyle w:val="19"/>
        <w:spacing w:line="240" w:lineRule="auto"/>
        <w:ind w:left="0" w:leftChars="0" w:firstLine="0" w:firstLineChars="0"/>
        <w:jc w:val="both"/>
        <w:rPr>
          <w:rFonts w:hint="eastAsia" w:asciiTheme="minorEastAsia" w:hAnsiTheme="minorEastAsia" w:eastAsiaTheme="minorEastAsia"/>
          <w:b w:val="0"/>
          <w:sz w:val="24"/>
        </w:rPr>
      </w:pPr>
      <w:r>
        <w:rPr>
          <w:rFonts w:hint="eastAsia" w:asciiTheme="minorEastAsia" w:hAnsiTheme="minorEastAsia" w:eastAsiaTheme="minorEastAsia"/>
          <w:b w:val="0"/>
          <w:sz w:val="24"/>
        </w:rPr>
        <w:t>■自己負担額が変わります</w:t>
      </w:r>
      <w:bookmarkStart w:id="0" w:name="_GoBack"/>
      <w:bookmarkEnd w:id="0"/>
    </w:p>
    <w:tbl>
      <w:tblPr>
        <w:tblStyle w:val="26"/>
        <w:tblW w:w="6295" w:type="auto"/>
        <w:tblInd w:w="0" w:type="dxa"/>
        <w:tblLayout w:type="fixed"/>
        <w:tblLook w:firstRow="1" w:lastRow="0" w:firstColumn="1" w:lastColumn="0" w:noHBand="0" w:noVBand="1" w:val="04A0"/>
      </w:tblPr>
      <w:tblGrid>
        <w:gridCol w:w="1615"/>
        <w:gridCol w:w="2160"/>
        <w:gridCol w:w="1191"/>
        <w:gridCol w:w="1191"/>
      </w:tblGrid>
      <w:tr>
        <w:trPr/>
        <w:tc>
          <w:tcPr>
            <w:tcW w:w="1615" w:type="dxa"/>
            <w:shd w:val="clear" w:color="auto" w:fill="FFE9FF"/>
            <w:vAlign w:val="center"/>
          </w:tcPr>
          <w:p>
            <w:pPr>
              <w:pStyle w:val="0"/>
              <w:jc w:val="center"/>
              <w:rPr>
                <w:rFonts w:hint="eastAsia"/>
              </w:rPr>
            </w:pPr>
            <w:r>
              <w:rPr>
                <w:rFonts w:hint="eastAsia"/>
              </w:rPr>
              <w:t>検診名</w:t>
            </w:r>
          </w:p>
        </w:tc>
        <w:tc>
          <w:tcPr>
            <w:tcW w:w="2160" w:type="dxa"/>
            <w:shd w:val="clear" w:color="auto" w:fill="FFE9FF"/>
            <w:vAlign w:val="center"/>
          </w:tcPr>
          <w:p>
            <w:pPr>
              <w:pStyle w:val="0"/>
              <w:jc w:val="center"/>
              <w:rPr>
                <w:rFonts w:hint="eastAsia"/>
              </w:rPr>
            </w:pPr>
            <w:r>
              <w:rPr>
                <w:rFonts w:hint="eastAsia"/>
              </w:rPr>
              <w:t>検査項目</w:t>
            </w:r>
          </w:p>
        </w:tc>
        <w:tc>
          <w:tcPr>
            <w:tcW w:w="1191" w:type="dxa"/>
            <w:shd w:val="clear" w:color="auto" w:fill="FFE9FF"/>
            <w:vAlign w:val="center"/>
          </w:tcPr>
          <w:p>
            <w:pPr>
              <w:pStyle w:val="0"/>
              <w:jc w:val="center"/>
              <w:rPr>
                <w:rFonts w:hint="eastAsia"/>
              </w:rPr>
            </w:pPr>
            <w:r>
              <w:rPr>
                <w:rFonts w:hint="eastAsia"/>
              </w:rPr>
              <w:t>変更前</w:t>
            </w:r>
          </w:p>
        </w:tc>
        <w:tc>
          <w:tcPr>
            <w:tcW w:w="1191" w:type="dxa"/>
            <w:shd w:val="clear" w:color="auto" w:fill="FFE9FF"/>
            <w:vAlign w:val="center"/>
          </w:tcPr>
          <w:p>
            <w:pPr>
              <w:pStyle w:val="0"/>
              <w:jc w:val="center"/>
              <w:rPr>
                <w:rFonts w:hint="eastAsia"/>
              </w:rPr>
            </w:pPr>
            <w:r>
              <w:rPr>
                <w:rFonts w:hint="eastAsia"/>
              </w:rPr>
              <w:t>変更後</w:t>
            </w:r>
          </w:p>
        </w:tc>
      </w:tr>
      <w:tr>
        <w:trPr>
          <w:trHeight w:val="720" w:hRule="atLeast"/>
        </w:trPr>
        <w:tc>
          <w:tcPr>
            <w:tcW w:w="1615" w:type="dxa"/>
            <w:vMerge w:val="restart"/>
            <w:vAlign w:val="center"/>
          </w:tcPr>
          <w:p>
            <w:pPr>
              <w:pStyle w:val="0"/>
              <w:jc w:val="both"/>
              <w:rPr>
                <w:rFonts w:hint="eastAsia"/>
              </w:rPr>
            </w:pPr>
            <w:r>
              <w:rPr>
                <w:rFonts w:hint="eastAsia"/>
              </w:rPr>
              <w:t>結核・肺がん健診</w:t>
            </w:r>
          </w:p>
        </w:tc>
        <w:tc>
          <w:tcPr>
            <w:tcW w:w="2160" w:type="dxa"/>
            <w:vAlign w:val="top"/>
          </w:tcPr>
          <w:p>
            <w:pPr>
              <w:pStyle w:val="0"/>
              <w:rPr>
                <w:rFonts w:hint="eastAsia"/>
              </w:rPr>
            </w:pPr>
            <w:r>
              <w:rPr>
                <w:rFonts w:hint="eastAsia"/>
              </w:rPr>
              <w:t>胸のレントゲン</w:t>
            </w:r>
          </w:p>
          <w:p>
            <w:pPr>
              <w:pStyle w:val="0"/>
              <w:rPr>
                <w:rFonts w:hint="eastAsia"/>
              </w:rPr>
            </w:pPr>
            <w:r>
              <w:rPr>
                <w:rFonts w:hint="eastAsia"/>
              </w:rPr>
              <w:t>（</w:t>
            </w:r>
            <w:r>
              <w:rPr>
                <w:rFonts w:hint="eastAsia"/>
              </w:rPr>
              <w:t>40</w:t>
            </w:r>
            <w:r>
              <w:rPr>
                <w:rFonts w:hint="eastAsia"/>
              </w:rPr>
              <w:t>歳～</w:t>
            </w:r>
            <w:r>
              <w:rPr>
                <w:rFonts w:hint="eastAsia"/>
              </w:rPr>
              <w:t>64</w:t>
            </w:r>
            <w:r>
              <w:rPr>
                <w:rFonts w:hint="eastAsia"/>
              </w:rPr>
              <w:t>歳）</w:t>
            </w:r>
          </w:p>
        </w:tc>
        <w:tc>
          <w:tcPr>
            <w:tcW w:w="1191" w:type="dxa"/>
            <w:vAlign w:val="center"/>
          </w:tcPr>
          <w:p>
            <w:pPr>
              <w:pStyle w:val="0"/>
              <w:jc w:val="right"/>
              <w:rPr>
                <w:rFonts w:hint="eastAsia"/>
              </w:rPr>
            </w:pPr>
            <w:r>
              <w:rPr>
                <w:rFonts w:hint="eastAsia"/>
              </w:rPr>
              <w:t>無料</w:t>
            </w:r>
          </w:p>
        </w:tc>
        <w:tc>
          <w:tcPr>
            <w:tcW w:w="1191" w:type="dxa"/>
            <w:vAlign w:val="center"/>
          </w:tcPr>
          <w:p>
            <w:pPr>
              <w:pStyle w:val="0"/>
              <w:jc w:val="right"/>
              <w:rPr>
                <w:rFonts w:hint="eastAsia"/>
              </w:rPr>
            </w:pPr>
            <w:r>
              <w:rPr>
                <w:rFonts w:hint="eastAsia"/>
              </w:rPr>
              <w:t>500</w:t>
            </w:r>
            <w:r>
              <w:rPr>
                <w:rFonts w:hint="eastAsia"/>
              </w:rPr>
              <w:t>円</w:t>
            </w:r>
          </w:p>
        </w:tc>
      </w:tr>
      <w:tr>
        <w:trPr/>
        <w:tc>
          <w:tcPr>
            <w:tcW w:w="1615" w:type="dxa"/>
            <w:vMerge w:val="continue"/>
            <w:vAlign w:val="center"/>
          </w:tcPr>
          <w:p>
            <w:pPr>
              <w:pStyle w:val="0"/>
              <w:rPr>
                <w:rFonts w:hint="eastAsia"/>
              </w:rPr>
            </w:pPr>
          </w:p>
        </w:tc>
        <w:tc>
          <w:tcPr>
            <w:tcW w:w="2160" w:type="dxa"/>
            <w:vAlign w:val="top"/>
          </w:tcPr>
          <w:p>
            <w:pPr>
              <w:pStyle w:val="0"/>
              <w:rPr>
                <w:rFonts w:hint="eastAsia"/>
              </w:rPr>
            </w:pPr>
            <w:r>
              <w:rPr>
                <w:rFonts w:hint="eastAsia"/>
              </w:rPr>
              <w:t>かく痰検査</w:t>
            </w:r>
          </w:p>
        </w:tc>
        <w:tc>
          <w:tcPr>
            <w:tcW w:w="1191" w:type="dxa"/>
            <w:vAlign w:val="center"/>
          </w:tcPr>
          <w:p>
            <w:pPr>
              <w:pStyle w:val="0"/>
              <w:jc w:val="right"/>
              <w:rPr>
                <w:rFonts w:hint="eastAsia"/>
              </w:rPr>
            </w:pPr>
            <w:r>
              <w:rPr>
                <w:rFonts w:hint="eastAsia"/>
              </w:rPr>
              <w:t>300</w:t>
            </w:r>
            <w:r>
              <w:rPr>
                <w:rFonts w:hint="eastAsia"/>
              </w:rPr>
              <w:t>円</w:t>
            </w:r>
          </w:p>
        </w:tc>
        <w:tc>
          <w:tcPr>
            <w:tcW w:w="1191" w:type="dxa"/>
            <w:vAlign w:val="center"/>
          </w:tcPr>
          <w:p>
            <w:pPr>
              <w:pStyle w:val="0"/>
              <w:jc w:val="right"/>
              <w:rPr>
                <w:rFonts w:hint="eastAsia"/>
              </w:rPr>
            </w:pPr>
            <w:r>
              <w:rPr>
                <w:rFonts w:hint="eastAsia"/>
              </w:rPr>
              <w:t>1,000</w:t>
            </w:r>
            <w:r>
              <w:rPr>
                <w:rFonts w:hint="eastAsia"/>
              </w:rPr>
              <w:t>円</w:t>
            </w:r>
          </w:p>
        </w:tc>
      </w:tr>
    </w:tbl>
    <w:p>
      <w:pPr>
        <w:pStyle w:val="19"/>
        <w:spacing w:line="240" w:lineRule="auto"/>
        <w:ind w:left="0" w:leftChars="0" w:firstLine="0" w:firstLineChars="0"/>
        <w:jc w:val="both"/>
        <w:rPr>
          <w:rFonts w:hint="eastAsia" w:asciiTheme="minorEastAsia" w:hAnsiTheme="minorEastAsia" w:eastAsiaTheme="minorEastAsia"/>
          <w:b w:val="0"/>
          <w:sz w:val="24"/>
        </w:rPr>
      </w:pPr>
    </w:p>
    <w:p>
      <w:pPr>
        <w:pStyle w:val="19"/>
        <w:spacing w:line="240" w:lineRule="auto"/>
        <w:ind w:left="0" w:leftChars="0" w:firstLine="0" w:firstLineChars="0"/>
        <w:jc w:val="both"/>
        <w:rPr>
          <w:rFonts w:hint="eastAsia" w:asciiTheme="minorEastAsia" w:hAnsiTheme="minorEastAsia" w:eastAsiaTheme="minorEastAsia"/>
          <w:b w:val="0"/>
          <w:sz w:val="24"/>
        </w:rPr>
      </w:pPr>
      <w:r>
        <w:rPr>
          <w:rFonts w:hint="eastAsia" w:asciiTheme="minorEastAsia" w:hAnsiTheme="minorEastAsia" w:eastAsiaTheme="minorEastAsia"/>
          <w:b w:val="0"/>
          <w:sz w:val="24"/>
        </w:rPr>
        <w:t>■対象者が変わります</w:t>
      </w:r>
    </w:p>
    <w:tbl>
      <w:tblPr>
        <w:tblStyle w:val="26"/>
        <w:tblW w:w="8815" w:type="auto"/>
        <w:tblInd w:w="0" w:type="dxa"/>
        <w:tblLayout w:type="fixed"/>
        <w:tblLook w:firstRow="1" w:lastRow="0" w:firstColumn="1" w:lastColumn="0" w:noHBand="0" w:noVBand="1" w:val="04A0"/>
      </w:tblPr>
      <w:tblGrid>
        <w:gridCol w:w="2155"/>
        <w:gridCol w:w="3240"/>
        <w:gridCol w:w="3420"/>
      </w:tblGrid>
      <w:tr>
        <w:trPr/>
        <w:tc>
          <w:tcPr>
            <w:tcW w:w="2155" w:type="dxa"/>
            <w:shd w:val="clear" w:color="auto" w:fill="FFE9FF"/>
            <w:vAlign w:val="center"/>
          </w:tcPr>
          <w:p>
            <w:pPr>
              <w:pStyle w:val="0"/>
              <w:jc w:val="center"/>
              <w:rPr>
                <w:rFonts w:hint="eastAsia"/>
              </w:rPr>
            </w:pPr>
            <w:r>
              <w:rPr>
                <w:rFonts w:hint="eastAsia"/>
              </w:rPr>
              <w:t>健（検）診名</w:t>
            </w:r>
          </w:p>
        </w:tc>
        <w:tc>
          <w:tcPr>
            <w:tcW w:w="3240" w:type="dxa"/>
            <w:shd w:val="clear" w:color="auto" w:fill="FFE9FF"/>
            <w:vAlign w:val="center"/>
          </w:tcPr>
          <w:p>
            <w:pPr>
              <w:pStyle w:val="0"/>
              <w:jc w:val="center"/>
              <w:rPr>
                <w:rFonts w:hint="eastAsia"/>
              </w:rPr>
            </w:pPr>
            <w:r>
              <w:rPr>
                <w:rFonts w:hint="eastAsia"/>
              </w:rPr>
              <w:t>変更前</w:t>
            </w:r>
          </w:p>
        </w:tc>
        <w:tc>
          <w:tcPr>
            <w:tcW w:w="3420" w:type="dxa"/>
            <w:shd w:val="clear" w:color="auto" w:fill="FFE9FF"/>
            <w:vAlign w:val="center"/>
          </w:tcPr>
          <w:p>
            <w:pPr>
              <w:pStyle w:val="0"/>
              <w:jc w:val="center"/>
              <w:rPr>
                <w:rFonts w:hint="eastAsia"/>
              </w:rPr>
            </w:pPr>
            <w:r>
              <w:rPr>
                <w:rFonts w:hint="eastAsia"/>
              </w:rPr>
              <w:t>変更後</w:t>
            </w:r>
          </w:p>
        </w:tc>
      </w:tr>
      <w:tr>
        <w:trPr/>
        <w:tc>
          <w:tcPr>
            <w:tcW w:w="2155" w:type="dxa"/>
            <w:vAlign w:val="center"/>
          </w:tcPr>
          <w:p>
            <w:pPr>
              <w:pStyle w:val="0"/>
              <w:jc w:val="both"/>
              <w:rPr>
                <w:rFonts w:hint="eastAsia"/>
              </w:rPr>
            </w:pPr>
            <w:r>
              <w:rPr>
                <w:rFonts w:hint="eastAsia"/>
              </w:rPr>
              <w:t>子宮頸がん検診</w:t>
            </w:r>
          </w:p>
        </w:tc>
        <w:tc>
          <w:tcPr>
            <w:tcW w:w="3240" w:type="dxa"/>
            <w:vAlign w:val="top"/>
          </w:tcPr>
          <w:p>
            <w:pPr>
              <w:pStyle w:val="0"/>
              <w:rPr>
                <w:rFonts w:hint="eastAsia"/>
              </w:rPr>
            </w:pPr>
            <w:r>
              <w:rPr>
                <w:rFonts w:hint="eastAsia"/>
              </w:rPr>
              <w:t>①</w:t>
            </w:r>
            <w:r>
              <w:rPr>
                <w:rFonts w:hint="eastAsia"/>
              </w:rPr>
              <w:t>20</w:t>
            </w:r>
            <w:r>
              <w:rPr>
                <w:rFonts w:hint="eastAsia"/>
              </w:rPr>
              <w:t>～</w:t>
            </w:r>
            <w:r>
              <w:rPr>
                <w:rFonts w:hint="eastAsia"/>
              </w:rPr>
              <w:t>69</w:t>
            </w:r>
            <w:r>
              <w:rPr>
                <w:rFonts w:hint="eastAsia"/>
              </w:rPr>
              <w:t>歳の女性</w:t>
            </w:r>
          </w:p>
          <w:p>
            <w:pPr>
              <w:pStyle w:val="0"/>
              <w:rPr>
                <w:rFonts w:hint="eastAsia"/>
              </w:rPr>
            </w:pPr>
            <w:r>
              <w:rPr>
                <w:rFonts w:hint="eastAsia"/>
              </w:rPr>
              <w:t>②</w:t>
            </w:r>
            <w:r>
              <w:rPr>
                <w:rFonts w:hint="eastAsia"/>
              </w:rPr>
              <w:t>70</w:t>
            </w:r>
            <w:r>
              <w:rPr>
                <w:rFonts w:hint="eastAsia"/>
              </w:rPr>
              <w:t>歳以上で、偶数年齢または前年度未受診の女性</w:t>
            </w:r>
          </w:p>
        </w:tc>
        <w:tc>
          <w:tcPr>
            <w:tcW w:w="3420" w:type="dxa"/>
            <w:vAlign w:val="top"/>
          </w:tcPr>
          <w:p>
            <w:pPr>
              <w:pStyle w:val="0"/>
              <w:rPr>
                <w:rFonts w:hint="eastAsia"/>
              </w:rPr>
            </w:pPr>
            <w:r>
              <w:rPr>
                <w:rFonts w:hint="eastAsia"/>
              </w:rPr>
              <w:t>①</w:t>
            </w:r>
            <w:r>
              <w:rPr>
                <w:rFonts w:hint="eastAsia"/>
              </w:rPr>
              <w:t>20</w:t>
            </w:r>
            <w:r>
              <w:rPr>
                <w:rFonts w:hint="eastAsia"/>
              </w:rPr>
              <w:t>～</w:t>
            </w:r>
            <w:r>
              <w:rPr>
                <w:rFonts w:hint="eastAsia"/>
              </w:rPr>
              <w:t>69</w:t>
            </w:r>
            <w:r>
              <w:rPr>
                <w:rFonts w:hint="eastAsia"/>
              </w:rPr>
              <w:t>歳の女性</w:t>
            </w:r>
          </w:p>
          <w:p>
            <w:pPr>
              <w:pStyle w:val="0"/>
              <w:rPr>
                <w:rFonts w:hint="eastAsia"/>
              </w:rPr>
            </w:pPr>
            <w:r>
              <w:rPr>
                <w:rFonts w:hint="eastAsia"/>
              </w:rPr>
              <w:t>②</w:t>
            </w:r>
            <w:r>
              <w:rPr>
                <w:rFonts w:hint="eastAsia"/>
              </w:rPr>
              <w:t>70</w:t>
            </w:r>
            <w:r>
              <w:rPr>
                <w:rFonts w:hint="eastAsia"/>
              </w:rPr>
              <w:t>歳以上で、前年度未受診の女性</w:t>
            </w:r>
          </w:p>
        </w:tc>
      </w:tr>
      <w:tr>
        <w:trPr/>
        <w:tc>
          <w:tcPr>
            <w:tcW w:w="2155" w:type="dxa"/>
            <w:vAlign w:val="center"/>
          </w:tcPr>
          <w:p>
            <w:pPr>
              <w:pStyle w:val="0"/>
              <w:jc w:val="both"/>
              <w:rPr>
                <w:rFonts w:hint="eastAsia"/>
              </w:rPr>
            </w:pPr>
            <w:r>
              <w:rPr>
                <w:rFonts w:hint="eastAsia"/>
              </w:rPr>
              <w:t>成人歯科健康診査</w:t>
            </w:r>
          </w:p>
        </w:tc>
        <w:tc>
          <w:tcPr>
            <w:tcW w:w="3240" w:type="dxa"/>
            <w:vAlign w:val="top"/>
          </w:tcPr>
          <w:p>
            <w:pPr>
              <w:pStyle w:val="0"/>
              <w:rPr>
                <w:rFonts w:hint="eastAsia"/>
              </w:rPr>
            </w:pPr>
            <w:r>
              <w:rPr>
                <w:rFonts w:hint="eastAsia"/>
              </w:rPr>
              <w:t>40</w:t>
            </w:r>
            <w:r>
              <w:rPr>
                <w:rFonts w:hint="eastAsia"/>
              </w:rPr>
              <w:t>・</w:t>
            </w:r>
            <w:r>
              <w:rPr>
                <w:rFonts w:hint="eastAsia"/>
              </w:rPr>
              <w:t>50</w:t>
            </w:r>
            <w:r>
              <w:rPr>
                <w:rFonts w:hint="eastAsia"/>
              </w:rPr>
              <w:t>・</w:t>
            </w:r>
            <w:r>
              <w:rPr>
                <w:rFonts w:hint="eastAsia"/>
              </w:rPr>
              <w:t>60</w:t>
            </w:r>
            <w:r>
              <w:rPr>
                <w:rFonts w:hint="eastAsia"/>
              </w:rPr>
              <w:t>・</w:t>
            </w:r>
            <w:r>
              <w:rPr>
                <w:rFonts w:hint="eastAsia"/>
              </w:rPr>
              <w:t>70</w:t>
            </w:r>
            <w:r>
              <w:rPr>
                <w:rFonts w:hint="eastAsia"/>
              </w:rPr>
              <w:t>歳</w:t>
            </w:r>
          </w:p>
        </w:tc>
        <w:tc>
          <w:tcPr>
            <w:tcW w:w="3420" w:type="dxa"/>
            <w:vAlign w:val="top"/>
          </w:tcPr>
          <w:p>
            <w:pPr>
              <w:pStyle w:val="0"/>
              <w:rPr>
                <w:rFonts w:hint="eastAsia"/>
              </w:rPr>
            </w:pPr>
            <w:r>
              <w:rPr>
                <w:rFonts w:hint="eastAsia"/>
              </w:rPr>
              <w:t>20</w:t>
            </w:r>
            <w:r>
              <w:rPr>
                <w:rFonts w:hint="eastAsia"/>
              </w:rPr>
              <w:t>・</w:t>
            </w:r>
            <w:r>
              <w:rPr>
                <w:rFonts w:hint="eastAsia"/>
              </w:rPr>
              <w:t>30</w:t>
            </w:r>
            <w:r>
              <w:rPr>
                <w:rFonts w:hint="eastAsia"/>
              </w:rPr>
              <w:t>・</w:t>
            </w:r>
            <w:r>
              <w:rPr>
                <w:rFonts w:hint="eastAsia"/>
              </w:rPr>
              <w:t>40</w:t>
            </w:r>
            <w:r>
              <w:rPr>
                <w:rFonts w:hint="eastAsia"/>
              </w:rPr>
              <w:t>・</w:t>
            </w:r>
            <w:r>
              <w:rPr>
                <w:rFonts w:hint="eastAsia"/>
              </w:rPr>
              <w:t>50</w:t>
            </w:r>
            <w:r>
              <w:rPr>
                <w:rFonts w:hint="eastAsia"/>
              </w:rPr>
              <w:t>・</w:t>
            </w:r>
            <w:r>
              <w:rPr>
                <w:rFonts w:hint="eastAsia"/>
              </w:rPr>
              <w:t>60</w:t>
            </w:r>
            <w:r>
              <w:rPr>
                <w:rFonts w:hint="eastAsia"/>
              </w:rPr>
              <w:t>・</w:t>
            </w:r>
            <w:r>
              <w:rPr>
                <w:rFonts w:hint="eastAsia"/>
              </w:rPr>
              <w:t>70</w:t>
            </w:r>
            <w:r>
              <w:rPr>
                <w:rFonts w:hint="eastAsia"/>
              </w:rPr>
              <w:t>歳</w:t>
            </w:r>
          </w:p>
        </w:tc>
      </w:tr>
    </w:tbl>
    <w:p>
      <w:pPr>
        <w:pStyle w:val="19"/>
        <w:spacing w:line="240" w:lineRule="auto"/>
        <w:ind w:left="0" w:leftChars="0" w:firstLine="0" w:firstLineChars="0"/>
        <w:jc w:val="both"/>
        <w:rPr>
          <w:rFonts w:hint="eastAsia" w:asciiTheme="minorEastAsia" w:hAnsiTheme="minorEastAsia" w:eastAsiaTheme="minorEastAsia"/>
          <w:b w:val="0"/>
          <w:sz w:val="24"/>
        </w:rPr>
      </w:pPr>
    </w:p>
    <w:sectPr>
      <w:pgSz w:w="11906" w:h="16838"/>
      <w:pgMar w:top="1020" w:right="1134" w:bottom="1020"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OTF UD新ゴ Pro R">
    <w:panose1 w:val="00000000000000000000"/>
    <w:charset w:val="80"/>
    <w:family w:val="swiss"/>
    <w:pitch w:val="variable"/>
    <w:sig w:usb0="00000000" w:usb1="00000000" w:usb2="00000000" w:usb3="00000000" w:csb0="01008200" w:csb1="00000000"/>
  </w:font>
  <w:font w:name="A-OTF UD黎ミン Pro L">
    <w:panose1 w:val="00000000000000000000"/>
    <w:charset w:val="80"/>
    <w:family w:val="roman"/>
    <w:pitch w:val="variable"/>
    <w:sig w:usb0="00000000" w:usb1="00000000" w:usb2="00000000" w:usb3="00000000" w:csb0="01008200" w:csb1="00000000"/>
  </w:font>
  <w:font w:name="A-OTF UD新ゴ Pro M">
    <w:panose1 w:val="00000000000000000000"/>
    <w:charset w:val="80"/>
    <w:family w:val="swiss"/>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OTF 新ゴ Min エンボス">
    <w:panose1 w:val="00000800000000000000"/>
    <w:charset w:val="80"/>
    <w:family w:val="swiss"/>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 P-OTF A1ゴシック Std B">
    <w:panose1 w:val="00000000000000000000"/>
    <w:charset w:val="80"/>
    <w:family w:val="swiss"/>
    <w:pitch w:val="variable"/>
    <w:sig w:usb0="00000000" w:usb1="00000000" w:usb2="00000000" w:usb3="00000000" w:csb0="01008200" w:csb1="00000000"/>
  </w:font>
  <w:font w:name="A-OTF UD新ゴ Pr6 L">
    <w:panose1 w:val="00000000000000000000"/>
    <w:charset w:val="80"/>
    <w:family w:val="swiss"/>
    <w:pitch w:val="variable"/>
    <w:sig w:usb0="00000000" w:usb1="00000000" w:usb2="00000000" w:usb3="00000000" w:csb0="01008200" w:csb1="00000000"/>
  </w:font>
  <w:font w:name="A-OTF UD新ゴ Pr6 R">
    <w:panose1 w:val="00000000000000000000"/>
    <w:charset w:val="80"/>
    <w:family w:val="swiss"/>
    <w:pitch w:val="variable"/>
    <w:sig w:usb0="00000000" w:usb1="00000000" w:usb2="00000000" w:usb3="00000000" w:csb0="01008200" w:csb1="00000000"/>
  </w:font>
  <w:font w:name="A P-OTF A1ゴシック Std L">
    <w:panose1 w:val="00000000000000000000"/>
    <w:charset w:val="80"/>
    <w:family w:val="swiss"/>
    <w:pitch w:val="variable"/>
    <w:sig w:usb0="00000000" w:usb1="00000000" w:usb2="00000000" w:usb3="00000000" w:csb0="01008200" w:csb1="00000000"/>
  </w:font>
  <w:font w:name="A P-OTF UD新ゴ Pr6N L">
    <w:panose1 w:val="00000000000000000000"/>
    <w:charset w:val="80"/>
    <w:family w:val="swiss"/>
    <w:pitch w:val="variable"/>
    <w:sig w:usb0="00000000" w:usb1="00000000" w:usb2="00000000" w:usb3="00000000" w:csb0="01008200" w:csb1="00000000"/>
  </w:font>
  <w:font w:name="A-OTF UD黎ミン Pro R">
    <w:panose1 w:val="00000000000000000000"/>
    <w:charset w:val="80"/>
    <w:family w:val="roman"/>
    <w:pitch w:val="variable"/>
    <w:sig w:usb0="00000000" w:usb1="00000000" w:usb2="00000000" w:usb3="00000000" w:csb0="01008200" w:csb1="00000000"/>
  </w:font>
  <w:font w:name="A P-OTF UD新ゴ Pr6N R">
    <w:panose1 w:val="00000000000000000000"/>
    <w:charset w:val="80"/>
    <w:family w:val="swiss"/>
    <w:pitch w:val="variable"/>
    <w:sig w:usb0="00000000" w:usb1="00000000" w:usb2="00000000" w:usb3="00000000" w:csb0="01008200" w:csb1="00000000"/>
  </w:font>
  <w:font w:name="A P-OTF UD新ゴNT Pr6N L">
    <w:panose1 w:val="00000000000000000000"/>
    <w:charset w:val="80"/>
    <w:family w:val="swiss"/>
    <w:pitch w:val="variable"/>
    <w:sig w:usb0="00000000" w:usb1="00000000" w:usb2="00000000" w:usb3="00000000" w:csb0="01008200" w:csb1="00000000"/>
  </w:font>
  <w:font w:name="A P-OTF A1ゴシック StdN B">
    <w:panose1 w:val="00000000000000000000"/>
    <w:charset w:val="80"/>
    <w:family w:val="swiss"/>
    <w:pitch w:val="variable"/>
    <w:sig w:usb0="00000000" w:usb1="00000000" w:usb2="00000000" w:usb3="00000000" w:csb0="01008200" w:csb1="00000000"/>
  </w:font>
  <w:font w:name="A P-OTF UD新ゴNT Pr6N R">
    <w:panose1 w:val="00000000000000000000"/>
    <w:charset w:val="80"/>
    <w:family w:val="swiss"/>
    <w:pitch w:val="variable"/>
    <w:sig w:usb0="00000000" w:usb1="00000000" w:usb2="00000000" w:usb3="00000000" w:csb0="01008200" w:csb1="00000000"/>
  </w:font>
  <w:font w:name="小塚明朝 Pro R">
    <w:panose1 w:val="00000000000000000000"/>
    <w:charset w:val="80"/>
    <w:family w:val="roman"/>
    <w:notTrueType/>
    <w:pitch w:val="fixed"/>
    <w:sig w:usb0="00000000" w:usb1="00000000" w:usb2="00000000" w:usb3="00000000" w:csb0="00000000" w:csb1="00000000"/>
  </w:font>
  <w:font w:name="ＤＦＰ平成ゴシック体W5Ｇ W5">
    <w:panose1 w:val="00000000000000000000"/>
    <w:charset w:val="80"/>
    <w:family w:val="auto"/>
    <w:notTrueType/>
    <w:pitch w:val="fixed"/>
    <w:sig w:usb0="00000000" w:usb1="00000000" w:usb2="00000000" w:usb3="00000000" w:csb0="00000000" w:csb1="00000000"/>
  </w:font>
  <w:font w:name="A-OTF UD新ゴNT Pr6 R">
    <w:panose1 w:val="00000000000000000000"/>
    <w:charset w:val="80"/>
    <w:family w:val="swiss"/>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OTF UD新丸ゴ Pro R">
    <w:panose1 w:val="00000000000000000000"/>
    <w:charset w:val="80"/>
    <w:family w:val="swiss"/>
    <w:pitch w:val="variable"/>
    <w:sig w:usb0="00000000" w:usb1="00000000" w:usb2="00000000" w:usb3="00000000" w:csb0="01008200" w:csb1="00000000"/>
  </w:font>
  <w:font w:name="A-OTF UD黎ミン Pr6 L">
    <w:panose1 w:val="00000000000000000000"/>
    <w:charset w:val="80"/>
    <w:family w:val="roman"/>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paragraph" w:styleId="19" w:customStyle="1">
    <w:name w:val="[基本段落]"/>
    <w:basedOn w:val="0"/>
    <w:next w:val="19"/>
    <w:link w:val="0"/>
    <w:uiPriority w:val="0"/>
    <w:pPr>
      <w:autoSpaceDE w:val="0"/>
      <w:autoSpaceDN w:val="0"/>
      <w:adjustRightInd w:val="0"/>
      <w:spacing w:line="420" w:lineRule="auto"/>
      <w:textAlignment w:val="center"/>
    </w:pPr>
    <w:rPr>
      <w:rFonts w:ascii="A-OTF UD新ゴ Pro R" w:hAnsi="A-OTF UD新ゴ Pro R" w:eastAsia="A-OTF UD新ゴ Pro R"/>
      <w:color w:val="000000"/>
      <w:kern w:val="0"/>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customStyle="1">
    <w:name w:val="[段落スタイルなし]"/>
    <w:next w:val="22"/>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color w:val="000000"/>
      <w:spacing w:val="0"/>
      <w:w w:val="100"/>
      <w:position w:val="0"/>
      <w:sz w:val="18"/>
      <w:u w:val="none" w:color="auto"/>
    </w:rPr>
  </w:style>
  <w:style w:type="character" w:styleId="23">
    <w:name w:val="Hyperlink"/>
    <w:basedOn w:val="10"/>
    <w:next w:val="23"/>
    <w:link w:val="0"/>
    <w:uiPriority w:val="0"/>
    <w:rPr>
      <w:color w:val="0000FF" w:themeColor="hyperlink"/>
      <w:u w:val="single" w:color="auto"/>
    </w:rPr>
  </w:style>
  <w:style w:type="paragraph" w:styleId="24">
    <w:name w:val="List Paragraph"/>
    <w:basedOn w:val="0"/>
    <w:next w:val="24"/>
    <w:link w:val="0"/>
    <w:uiPriority w:val="0"/>
    <w:qFormat/>
    <w:pPr>
      <w:ind w:left="400" w:leftChars="400"/>
    </w:pPr>
  </w:style>
  <w:style w:type="paragraph" w:styleId="25" w:customStyle="1">
    <w:name w:val="段落スタイル 3"/>
    <w:basedOn w:val="19"/>
    <w:next w:val="25"/>
    <w:link w:val="0"/>
    <w:uiPriority w:val="0"/>
    <w:qFormat/>
    <w:pPr>
      <w:pBdr>
        <w:top w:val="single" w:color="auto" w:sz="74" w:space="0"/>
      </w:pBdr>
      <w:spacing w:line="241" w:lineRule="atLeast"/>
    </w:pPr>
    <w:rPr>
      <w:color w:val="FFFFFF"/>
      <w:w w:val="90"/>
    </w:r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890</TotalTime>
  <Pages>2</Pages>
  <Words>33</Words>
  <Characters>1333</Characters>
  <Application>JUST Note</Application>
  <Lines>140</Lines>
  <Paragraphs>58</Paragraphs>
  <CharactersWithSpaces>1359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佐々木　麻衣</cp:lastModifiedBy>
  <dcterms:created xsi:type="dcterms:W3CDTF">2022-04-20T05:05:00Z</dcterms:created>
  <dcterms:modified xsi:type="dcterms:W3CDTF">2024-01-22T01:01:50Z</dcterms:modified>
  <cp:revision>30</cp:revision>
</cp:coreProperties>
</file>