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spacing w:before="0" w:beforeLines="0" w:beforeAutospacing="0" w:after="0" w:afterLines="0" w:afterAutospacing="0" w:line="400" w:lineRule="exact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健康長寿の鍵はフレイル予防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問い合わせ</w:t>
      </w:r>
      <w:r>
        <w:rPr>
          <w:rFonts w:hint="eastAsia" w:asciiTheme="minorEastAsia" w:hAnsiTheme="minorEastAsia" w:eastAsiaTheme="minorEastAsia"/>
          <w:b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</w:rPr>
        <w:t>健康推進課健康増進担当</w:t>
      </w:r>
      <w:r>
        <w:rPr>
          <w:rFonts w:hint="eastAsia" w:asciiTheme="minorEastAsia" w:hAnsiTheme="minorEastAsia" w:eastAsiaTheme="minorEastAsia"/>
          <w:b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</w:rPr>
        <w:t>電話</w:t>
      </w:r>
      <w:r>
        <w:rPr>
          <w:rFonts w:hint="eastAsia" w:asciiTheme="minorEastAsia" w:hAnsiTheme="minorEastAsia" w:eastAsiaTheme="minorEastAsia"/>
          <w:b w:val="0"/>
          <w:sz w:val="24"/>
        </w:rPr>
        <w:t>23-2215</w:t>
      </w:r>
    </w:p>
    <w:p>
      <w:pPr>
        <w:pStyle w:val="22"/>
        <w:spacing w:before="57" w:beforeLines="0" w:beforeAutospacing="0" w:line="240" w:lineRule="auto"/>
        <w:jc w:val="both"/>
        <w:rPr>
          <w:rFonts w:hint="eastAsia" w:asciiTheme="minorEastAsia" w:hAnsiTheme="minorEastAsia" w:eastAsiaTheme="minorEastAsia"/>
          <w:b w:val="1"/>
          <w:sz w:val="24"/>
        </w:rPr>
      </w:pPr>
    </w:p>
    <w:p>
      <w:pPr>
        <w:pStyle w:val="22"/>
        <w:spacing w:before="57" w:beforeLines="0" w:beforeAutospacing="0" w:line="240" w:lineRule="auto"/>
        <w:ind w:left="0" w:leftChars="0" w:right="0" w:rightChars="0" w:firstLine="240" w:firstLineChars="10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2</w:t>
      </w:r>
      <w:r>
        <w:rPr>
          <w:rFonts w:hint="eastAsia" w:asciiTheme="minorEastAsia" w:hAnsiTheme="minorEastAsia" w:eastAsiaTheme="minorEastAsia"/>
          <w:b w:val="0"/>
          <w:sz w:val="24"/>
        </w:rPr>
        <w:t>月はフレイル予防月間です。この機会に自分の心身の健康を振り返り、フレイル予防を実践してみませんか。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フレイルって？</w:t>
      </w:r>
    </w:p>
    <w:p>
      <w:pPr>
        <w:pStyle w:val="19"/>
        <w:spacing w:line="240" w:lineRule="auto"/>
        <w:ind w:left="0" w:lef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「フレイル」とは、健康な状態と要介護状態の間であり、加齢などにより体力や気力が弱まってきている状態のことです。多くの人がフレイルの段階を経て、要介護状態に陥ると考えられています。一方で、早期に気付き、適切な対策をすることで、健康な状態に改善することができます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あなたは大丈夫？いざ、フレイルチェック</w:t>
      </w:r>
      <w:r>
        <w:rPr>
          <w:rFonts w:hint="eastAsia" w:asciiTheme="minorEastAsia" w:hAnsiTheme="minorEastAsia" w:eastAsiaTheme="minorEastAsia"/>
          <w:b w:val="1"/>
          <w:sz w:val="24"/>
        </w:rPr>
        <w:t>!</w:t>
      </w:r>
      <w:r>
        <w:rPr>
          <w:rFonts w:hint="eastAsia" w:asciiTheme="minorEastAsia" w:hAnsiTheme="minorEastAsia" w:eastAsiaTheme="minorEastAsia"/>
          <w:b w:val="1"/>
          <w:sz w:val="24"/>
        </w:rPr>
        <w:t>（改訂</w:t>
      </w:r>
      <w:r>
        <w:rPr>
          <w:rFonts w:hint="eastAsia" w:asciiTheme="minorEastAsia" w:hAnsiTheme="minorEastAsia" w:eastAsiaTheme="minorEastAsia"/>
          <w:b w:val="1"/>
          <w:sz w:val="24"/>
        </w:rPr>
        <w:t>J-CHS</w:t>
      </w:r>
      <w:r>
        <w:rPr>
          <w:rFonts w:hint="eastAsia" w:asciiTheme="minorEastAsia" w:hAnsiTheme="minorEastAsia" w:eastAsiaTheme="minorEastAsia"/>
          <w:b w:val="1"/>
          <w:sz w:val="24"/>
        </w:rPr>
        <w:t>基準）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15"/>
        <w:gridCol w:w="1134"/>
        <w:gridCol w:w="1134"/>
      </w:tblGrid>
      <w:tr>
        <w:trPr>
          <w:trHeight w:val="35" w:hRule="atLeast"/>
        </w:trPr>
        <w:tc>
          <w:tcPr>
            <w:tcW w:w="5215" w:type="dxa"/>
            <w:shd w:val="clear" w:color="auto" w:fill="FFE9E9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カ月で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キログラム以上体重が減少している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いいえ</w:t>
            </w:r>
          </w:p>
        </w:tc>
      </w:tr>
      <w:tr>
        <w:trPr>
          <w:trHeight w:val="35" w:hRule="atLeast"/>
        </w:trPr>
        <w:tc>
          <w:tcPr>
            <w:tcW w:w="5215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ペットボトルを開けるのが困難だ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いいえ</w:t>
            </w:r>
          </w:p>
        </w:tc>
      </w:tr>
      <w:tr>
        <w:trPr>
          <w:trHeight w:val="350" w:hRule="atLeast"/>
        </w:trPr>
        <w:tc>
          <w:tcPr>
            <w:tcW w:w="5215" w:type="dxa"/>
            <w:shd w:val="clear" w:color="auto" w:fill="FFE9E9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ここ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週間、わけもなく疲れた感じがする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いいえ</w:t>
            </w:r>
          </w:p>
        </w:tc>
      </w:tr>
      <w:tr>
        <w:trPr>
          <w:trHeight w:val="737" w:hRule="atLeast"/>
        </w:trPr>
        <w:tc>
          <w:tcPr>
            <w:tcW w:w="5215" w:type="dxa"/>
            <w:shd w:val="clear" w:color="auto" w:themeFill="accent6" w:themeFillTint="33" w:themeFillShade="FF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横断歩道を渡るのに苦労する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（信号が青の間に渡りきれない）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いいえ</w:t>
            </w:r>
          </w:p>
        </w:tc>
      </w:tr>
      <w:tr>
        <w:trPr>
          <w:trHeight w:val="35" w:hRule="atLeast"/>
        </w:trPr>
        <w:tc>
          <w:tcPr>
            <w:tcW w:w="5215" w:type="dxa"/>
            <w:shd w:val="clear" w:color="auto" w:fill="FFE9E9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回軽い体操や運動などをしていない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いいえ</w:t>
            </w:r>
          </w:p>
        </w:tc>
      </w:tr>
    </w:tbl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「はい」に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つ以上該当した場合は、フレイルの可能性があります。自分の状態を知り、予防方法を学びましょう。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フレイル予防の</w:t>
      </w:r>
      <w:r>
        <w:rPr>
          <w:rFonts w:hint="eastAsia" w:asciiTheme="minorEastAsia" w:hAnsiTheme="minorEastAsia" w:eastAsiaTheme="minorEastAsia"/>
          <w:b w:val="1"/>
          <w:sz w:val="24"/>
        </w:rPr>
        <w:t>3</w:t>
      </w:r>
      <w:r>
        <w:rPr>
          <w:rFonts w:hint="eastAsia" w:asciiTheme="minorEastAsia" w:hAnsiTheme="minorEastAsia" w:eastAsiaTheme="minorEastAsia"/>
          <w:b w:val="1"/>
          <w:sz w:val="24"/>
        </w:rPr>
        <w:t>本柱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①栄養</w:t>
      </w:r>
    </w:p>
    <w:p>
      <w:pPr>
        <w:pStyle w:val="19"/>
        <w:spacing w:line="240" w:lineRule="auto"/>
        <w:ind w:left="0" w:lef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バランスの良い食事をしっかりとる。</w:t>
      </w:r>
      <w:r>
        <w:rPr>
          <w:rFonts w:hint="eastAsia" w:asciiTheme="minorEastAsia" w:hAnsiTheme="minorEastAsia" w:eastAsiaTheme="minorEastAsia"/>
          <w:sz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Theme="minorEastAsia" w:hAnsiTheme="minorEastAsia" w:eastAsiaTheme="minorEastAsia"/>
          <w:sz w:val="24"/>
        </w:rPr>
        <w:instrText>),</w:instrText>
      </w:r>
      <w:r>
        <w:rPr>
          <w:rFonts w:hint="eastAsia" w:asciiTheme="minorEastAsia" w:hAnsiTheme="minorEastAsia" w:eastAsiaTheme="minorEastAsia"/>
          <w:sz w:val="24"/>
        </w:rPr>
        <w:instrText>口腔</w:instrText>
      </w:r>
      <w:r>
        <w:rPr>
          <w:rFonts w:hint="eastAsia" w:asciiTheme="minorEastAsia" w:hAnsiTheme="minorEastAsia" w:eastAsiaTheme="minorEastAsia"/>
          <w:sz w:val="24"/>
        </w:rPr>
        <w:instrText>)</w:instrText>
      </w:r>
      <w:r>
        <w:rPr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内の健康にも気を配り、定期的な歯科受診を心がける。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②身体活動</w:t>
      </w:r>
    </w:p>
    <w:p>
      <w:pPr>
        <w:pStyle w:val="19"/>
        <w:spacing w:line="240" w:lineRule="auto"/>
        <w:ind w:left="0" w:lef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日常生活での活動量を増やす。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③社会参加</w:t>
      </w:r>
    </w:p>
    <w:p>
      <w:pPr>
        <w:pStyle w:val="19"/>
        <w:spacing w:line="240" w:lineRule="auto"/>
        <w:ind w:left="0" w:lef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趣味活動や地域交流などで社会との関わりを持ち、活動の場を広げる。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図：栄養・身体活動・社会参加の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本柱の図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</w:p>
    <w:p>
      <w:pPr>
        <w:pStyle w:val="19"/>
        <w:spacing w:line="240" w:lineRule="auto"/>
        <w:ind w:left="0" w:lef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日常生活の中で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本柱をバランスよく実践し、フレイルを予防することが健康寿命を延ばす第一歩です。</w:t>
      </w:r>
    </w:p>
    <w:p>
      <w:pPr>
        <w:pStyle w:val="19"/>
        <w:spacing w:line="240" w:lineRule="auto"/>
        <w:ind w:left="0" w:leftChars="0" w:firstLine="240" w:firstLineChars="100"/>
        <w:jc w:val="both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人によって、フレイルの兆候は</w:t>
      </w:r>
      <w:r>
        <w:rPr>
          <w:rFonts w:hint="eastAsia" w:asciiTheme="minorEastAsia" w:hAnsiTheme="minorEastAsia" w:eastAsiaTheme="minorEastAsia"/>
          <w:sz w:val="24"/>
        </w:rPr>
        <w:t>40</w:t>
      </w:r>
      <w:r>
        <w:rPr>
          <w:rFonts w:hint="eastAsia" w:asciiTheme="minorEastAsia" w:hAnsiTheme="minorEastAsia" w:eastAsiaTheme="minorEastAsia"/>
          <w:sz w:val="24"/>
        </w:rPr>
        <w:t>代から始まる場合もあります。中年期以降は生活習慣病予防だけではなく、フレイル予防にも取り組みましょう。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❖「フレイルドミノ」に注意</w:t>
      </w:r>
    </w:p>
    <w:p>
      <w:pPr>
        <w:pStyle w:val="19"/>
        <w:spacing w:line="240" w:lineRule="auto"/>
        <w:ind w:left="0" w:leftChars="0" w:firstLine="240" w:firstLineChars="100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社会との関わりを失うことがフレイルの入り口です。社会性の低下が引き金となり、心身のさまざまなものがドミノ倒しのように弱っていきます。閉じこもらずに、自分の活動の場を広げてみましょう。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図：「ドミノ倒しにならないように！」　出所：東京大学高齢社会総合研究機構・飯島</w:t>
      </w:r>
      <w:r>
        <w:rPr>
          <w:rFonts w:hint="eastAsia" w:asciiTheme="minorEastAsia" w:hAnsiTheme="minorEastAsia" w:eastAsiaTheme="minorEastAsia"/>
          <w:b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</w:rPr>
        <w:t>勝也</w:t>
      </w:r>
      <w:r>
        <w:rPr>
          <w:rFonts w:hint="eastAsia" w:asciiTheme="minorEastAsia" w:hAnsiTheme="minorEastAsia" w:eastAsiaTheme="minorEastAsia"/>
          <w:b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</w:rPr>
        <w:t>作図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「おおさきフレイル相談薬局」認証制度</w:t>
      </w:r>
    </w:p>
    <w:p>
      <w:pPr>
        <w:pStyle w:val="19"/>
        <w:spacing w:line="240" w:lineRule="auto"/>
        <w:ind w:left="0" w:leftChars="0" w:firstLine="240" w:firstLineChars="10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フレイルについて気軽に相談できる体制づくりのため、市と大崎薬剤師会が協働で「おおさきフレイル相談薬局」の認証制度を始めました。</w:t>
      </w:r>
    </w:p>
    <w:p>
      <w:pPr>
        <w:pStyle w:val="19"/>
        <w:spacing w:line="240" w:lineRule="auto"/>
        <w:ind w:left="0" w:leftChars="0" w:firstLine="240" w:firstLineChars="10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4</w:t>
      </w:r>
      <w:r>
        <w:rPr>
          <w:rFonts w:hint="eastAsia" w:asciiTheme="minorEastAsia" w:hAnsiTheme="minorEastAsia" w:eastAsiaTheme="minorEastAsia"/>
          <w:b w:val="0"/>
          <w:sz w:val="24"/>
        </w:rPr>
        <w:t>月</w:t>
      </w:r>
      <w:r>
        <w:rPr>
          <w:rFonts w:hint="eastAsia" w:asciiTheme="minorEastAsia" w:hAnsiTheme="minorEastAsia" w:eastAsiaTheme="minorEastAsia"/>
          <w:b w:val="0"/>
          <w:sz w:val="24"/>
        </w:rPr>
        <w:t>1</w:t>
      </w:r>
      <w:r>
        <w:rPr>
          <w:rFonts w:hint="eastAsia" w:asciiTheme="minorEastAsia" w:hAnsiTheme="minorEastAsia" w:eastAsiaTheme="minorEastAsia"/>
          <w:b w:val="0"/>
          <w:sz w:val="24"/>
        </w:rPr>
        <w:t>日（火曜日）から、認証された薬局でフレイルチェックや薬・食事・運動などのフレイル予防に関する相談ができるようになります。</w:t>
      </w:r>
    </w:p>
    <w:p>
      <w:pPr>
        <w:pStyle w:val="19"/>
        <w:spacing w:line="240" w:lineRule="auto"/>
        <w:ind w:left="0" w:leftChars="0" w:firstLine="240" w:firstLineChars="100"/>
        <w:jc w:val="both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詳しくは、市ウェブサイトを確認し、本制度を活用してください。</w:t>
      </w: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19"/>
        <w:spacing w:line="240" w:lineRule="auto"/>
        <w:ind w:left="0" w:leftChars="0" w:firstLine="0" w:firstLineChars="0"/>
        <w:jc w:val="both"/>
        <w:rPr>
          <w:rFonts w:hint="eastAsia" w:asciiTheme="minorEastAsia" w:hAnsiTheme="minorEastAsia" w:eastAsiaTheme="minorEastAsia"/>
          <w:b w:val="0"/>
          <w:sz w:val="24"/>
        </w:rPr>
      </w:pPr>
      <w:bookmarkStart w:id="0" w:name="_GoBack"/>
      <w:bookmarkEnd w:id="0"/>
    </w:p>
    <w:sectPr>
      <w:pgSz w:w="11906" w:h="16838"/>
      <w:pgMar w:top="1020" w:right="1134" w:bottom="10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黎ミン Pro L">
    <w:panose1 w:val="00000000000000000000"/>
    <w:charset w:val="80"/>
    <w:family w:val="roman"/>
    <w:pitch w:val="fixed"/>
    <w:sig w:usb0="00000000" w:usb1="00000000" w:usb2="00000000" w:usb3="00000000" w:csb0="00820001" w:csb1="00000000"/>
  </w:font>
  <w:font w:name="A-OTF UD新ゴ Pro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丸ゴ Pro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o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新ゴ Min エンボス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6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6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 P-OTF A1ゴシック Std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 P-OTF UD新ゴ Pr6N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黎ミン Pro R">
    <w:panose1 w:val="00000000000000000000"/>
    <w:charset w:val="80"/>
    <w:family w:val="roman"/>
    <w:pitch w:val="fixed"/>
    <w:sig w:usb0="00000000" w:usb1="00000000" w:usb2="00000000" w:usb3="00000000" w:csb0="00820001" w:csb1="00000000"/>
  </w:font>
  <w:font w:name="A P-OTF UD新ゴ Pr6N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 P-OTF UD新ゴNT Pr6N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 P-OTF A1ゴシック StdN B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 P-OTF UD新ゴNT Pr6N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ＤＦＰ平成ゴシック体W5Ｇ W5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新ゴNT Pr6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UD新丸ゴ Pro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黎ミン Pr6 L">
    <w:panose1 w:val="00000000000000000000"/>
    <w:charset w:val="80"/>
    <w:family w:val="roman"/>
    <w:pitch w:val="fixed"/>
    <w:sig w:usb0="00000000" w:usb1="00000000" w:usb2="00000000" w:usb3="00000000" w:csb0="0082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hAnsi="A-OTF UD新ゴ Pro R" w:eastAsia="A-OTF UD新ゴ Pro R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List Paragraph"/>
    <w:basedOn w:val="0"/>
    <w:next w:val="24"/>
    <w:link w:val="0"/>
    <w:uiPriority w:val="0"/>
    <w:qFormat/>
    <w:pPr>
      <w:ind w:left="400" w:leftChars="400"/>
    </w:pPr>
  </w:style>
  <w:style w:type="paragraph" w:styleId="25" w:customStyle="1">
    <w:name w:val="段落スタイル 3"/>
    <w:basedOn w:val="19"/>
    <w:next w:val="25"/>
    <w:link w:val="0"/>
    <w:uiPriority w:val="0"/>
    <w:qFormat/>
    <w:pPr>
      <w:pBdr>
        <w:top w:val="single" w:color="auto" w:sz="74" w:space="0"/>
      </w:pBdr>
      <w:spacing w:line="241" w:lineRule="atLeast"/>
    </w:pPr>
    <w:rPr>
      <w:color w:val="FFFFFF"/>
      <w:w w:val="90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962</TotalTime>
  <Pages>2</Pages>
  <Words>14</Words>
  <Characters>1001</Characters>
  <Application>JUST Note</Application>
  <Lines>63</Lines>
  <Paragraphs>40</Paragraphs>
  <CharactersWithSpaces>1006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佐藤晋作</cp:lastModifiedBy>
  <dcterms:created xsi:type="dcterms:W3CDTF">2022-04-20T05:05:00Z</dcterms:created>
  <dcterms:modified xsi:type="dcterms:W3CDTF">2025-01-21T03:00:54Z</dcterms:modified>
  <cp:revision>31</cp:revision>
</cp:coreProperties>
</file>