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r>
        <w:rPr>
          <w:rFonts w:hint="eastAsia" w:ascii="ＭＳ 明朝" w:hAnsi="ＭＳ 明朝" w:eastAsia="ＭＳ 明朝"/>
          <w:b w:val="1"/>
          <w:sz w:val="28"/>
        </w:rPr>
        <w:t>!</w:t>
      </w:r>
    </w:p>
    <w:p>
      <w:pPr>
        <w:pStyle w:val="0"/>
        <w:rPr>
          <w:rFonts w:hint="eastAsia" w:ascii="ＭＳ 明朝" w:hAnsi="ＭＳ 明朝" w:eastAsia="ＭＳ 明朝"/>
          <w:sz w:val="24"/>
        </w:rPr>
      </w:pPr>
      <w:r>
        <w:rPr>
          <w:rFonts w:hint="eastAsia" w:ascii="ＭＳ 明朝" w:hAnsi="ＭＳ 明朝" w:eastAsia="ＭＳ 明朝"/>
          <w:b w:val="1"/>
          <w:sz w:val="24"/>
        </w:rPr>
        <w:t>農林業系汚染廃棄物の焼却処理に関するお知らせ</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環境保全課放射能対策推進室　電話</w:t>
      </w:r>
      <w:r>
        <w:rPr>
          <w:rFonts w:hint="eastAsia" w:ascii="ＭＳ 明朝" w:hAnsi="ＭＳ 明朝" w:eastAsia="ＭＳ 明朝"/>
          <w:sz w:val="24"/>
        </w:rPr>
        <w:t>23-6074</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東京電力福島第一原子力発電所の事故で放射能汚染された農林業系汚染廃棄物の焼却処理を、中央クリーンセンター、東部クリーンセンターで実施しています。各種の放射性セシウム濃度および空間線量の測定結果は、いずれも基準値内でした。</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□各種測定結果（混焼期間：</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31</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焼却内容の実績（単位：ベクレル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675"/>
        <w:gridCol w:w="1701"/>
        <w:gridCol w:w="1701"/>
        <w:gridCol w:w="1701"/>
      </w:tblGrid>
      <w:tr>
        <w:trPr/>
        <w:tc>
          <w:tcPr>
            <w:tcW w:w="167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r>
      <w:tr>
        <w:trPr>
          <w:trHeight w:val="360" w:hRule="atLeast"/>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搬入量</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13.31</w:t>
            </w:r>
            <w:r>
              <w:rPr>
                <w:rFonts w:hint="eastAsia" w:ascii="ＭＳ 明朝" w:hAnsi="ＭＳ 明朝" w:eastAsia="ＭＳ 明朝"/>
                <w:sz w:val="21"/>
              </w:rPr>
              <w:t>㌧</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0.97</w:t>
            </w:r>
            <w:r>
              <w:rPr>
                <w:rFonts w:hint="eastAsia" w:ascii="ＭＳ 明朝" w:hAnsi="ＭＳ 明朝" w:eastAsia="ＭＳ 明朝"/>
                <w:sz w:val="21"/>
              </w:rPr>
              <w:t>㌧</w:t>
            </w:r>
          </w:p>
        </w:tc>
        <w:tc>
          <w:tcPr>
            <w:tcW w:w="1701" w:type="dxa"/>
            <w:vAlign w:val="top"/>
          </w:tcPr>
          <w:p>
            <w:pPr>
              <w:pStyle w:val="0"/>
              <w:ind w:firstLine="120" w:firstLineChars="50"/>
              <w:jc w:val="center"/>
              <w:rPr>
                <w:rFonts w:hint="eastAsia" w:ascii="ＭＳ 明朝" w:hAnsi="ＭＳ 明朝" w:eastAsia="ＭＳ 明朝"/>
                <w:sz w:val="21"/>
              </w:rPr>
            </w:pPr>
            <w:r>
              <w:rPr>
                <w:rFonts w:hint="eastAsia" w:ascii="ＭＳ 明朝" w:hAnsi="ＭＳ 明朝" w:eastAsia="ＭＳ 明朝"/>
                <w:sz w:val="21"/>
              </w:rPr>
              <w:t>14.28</w:t>
            </w:r>
            <w:r>
              <w:rPr>
                <w:rFonts w:hint="eastAsia" w:ascii="ＭＳ 明朝" w:hAnsi="ＭＳ 明朝" w:eastAsia="ＭＳ 明朝"/>
                <w:sz w:val="21"/>
              </w:rPr>
              <w:t>㌧</w:t>
            </w:r>
          </w:p>
        </w:tc>
      </w:tr>
      <w:tr>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最大搬入濃度</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7,963</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7,925</w:t>
            </w:r>
          </w:p>
        </w:tc>
        <w:tc>
          <w:tcPr>
            <w:tcW w:w="170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sz w:val="21"/>
              </w:rPr>
            </w:pPr>
          </w:p>
        </w:tc>
      </w:tr>
    </w:tbl>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※旧西部玉造クリーンセンターのモニタリングポストは、令和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11</w:t>
      </w:r>
      <w:r>
        <w:rPr>
          <w:rFonts w:hint="eastAsia" w:ascii="ＭＳ 明朝" w:hAnsi="ＭＳ 明朝" w:eastAsia="ＭＳ 明朝"/>
          <w:sz w:val="24"/>
        </w:rPr>
        <w:t>月に撤去されました。</w:t>
      </w:r>
    </w:p>
    <w:p>
      <w:pPr>
        <w:pStyle w:val="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b w:val="1"/>
          <w:sz w:val="24"/>
        </w:rPr>
        <w:t>❖</w:t>
      </w:r>
      <w:r>
        <w:rPr>
          <w:rFonts w:hint="eastAsia" w:ascii="ＭＳ 明朝" w:hAnsi="ＭＳ 明朝" w:eastAsia="ＭＳ 明朝"/>
          <w:sz w:val="24"/>
        </w:rPr>
        <w:t>排ガスの測定結果</w:t>
      </w:r>
    </w:p>
    <w:tbl>
      <w:tblPr>
        <w:tblStyle w:val="19"/>
        <w:tblW w:w="0" w:type="auto"/>
        <w:tblInd w:w="0" w:type="dxa"/>
        <w:tblLayout w:type="fixed"/>
        <w:tblLook w:firstRow="1" w:lastRow="0" w:firstColumn="1" w:lastColumn="0" w:noHBand="0" w:noVBand="1" w:val="04A0"/>
      </w:tblPr>
      <w:tblGrid>
        <w:gridCol w:w="1045"/>
        <w:gridCol w:w="1890"/>
        <w:gridCol w:w="1890"/>
      </w:tblGrid>
      <w:tr>
        <w:trPr/>
        <w:tc>
          <w:tcPr>
            <w:tcW w:w="104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890"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890"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ind w:leftChars="0" w:firstLine="210" w:firstLineChars="100"/>
        <w:rPr>
          <w:rFonts w:hint="eastAsia" w:ascii="ＭＳ 明朝" w:hAnsi="ＭＳ 明朝" w:eastAsia="ＭＳ 明朝"/>
          <w:sz w:val="21"/>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1"/>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焼却灰などの測定結果（単位：ベクレル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045"/>
        <w:gridCol w:w="1757"/>
        <w:gridCol w:w="1757"/>
      </w:tblGrid>
      <w:tr>
        <w:trPr/>
        <w:tc>
          <w:tcPr>
            <w:tcW w:w="104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57"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57"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飛灰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460</w:t>
            </w:r>
            <w:r>
              <w:rPr>
                <w:rFonts w:hint="eastAsia" w:ascii="ＭＳ 明朝" w:hAnsi="ＭＳ 明朝" w:eastAsia="ＭＳ 明朝"/>
                <w:sz w:val="21"/>
              </w:rPr>
              <w:t>～</w:t>
            </w:r>
            <w:r>
              <w:rPr>
                <w:rFonts w:hint="eastAsia" w:ascii="ＭＳ 明朝" w:hAnsi="ＭＳ 明朝" w:eastAsia="ＭＳ 明朝"/>
                <w:sz w:val="21"/>
              </w:rPr>
              <w:t>710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220</w:t>
            </w:r>
            <w:r>
              <w:rPr>
                <w:rFonts w:hint="eastAsia" w:ascii="ＭＳ 明朝" w:hAnsi="ＭＳ 明朝" w:eastAsia="ＭＳ 明朝"/>
                <w:sz w:val="21"/>
              </w:rPr>
              <w:t>～</w:t>
            </w:r>
            <w:r>
              <w:rPr>
                <w:rFonts w:hint="eastAsia" w:ascii="ＭＳ 明朝" w:hAnsi="ＭＳ 明朝" w:eastAsia="ＭＳ 明朝"/>
                <w:sz w:val="21"/>
              </w:rPr>
              <w:t>310</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焼却灰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88</w:t>
            </w:r>
            <w:r>
              <w:rPr>
                <w:rFonts w:hint="eastAsia" w:ascii="ＭＳ 明朝" w:hAnsi="ＭＳ 明朝" w:eastAsia="ＭＳ 明朝"/>
                <w:sz w:val="21"/>
              </w:rPr>
              <w:t>～</w:t>
            </w:r>
            <w:r>
              <w:rPr>
                <w:rFonts w:hint="eastAsia" w:ascii="ＭＳ 明朝" w:hAnsi="ＭＳ 明朝" w:eastAsia="ＭＳ 明朝"/>
                <w:sz w:val="21"/>
              </w:rPr>
              <w:t>140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61</w:t>
            </w:r>
            <w:r>
              <w:rPr>
                <w:rFonts w:hint="eastAsia" w:ascii="ＭＳ 明朝" w:hAnsi="ＭＳ 明朝" w:eastAsia="ＭＳ 明朝"/>
                <w:sz w:val="21"/>
              </w:rPr>
              <w:t>～</w:t>
            </w:r>
            <w:r>
              <w:rPr>
                <w:rFonts w:hint="eastAsia" w:ascii="ＭＳ 明朝" w:hAnsi="ＭＳ 明朝" w:eastAsia="ＭＳ 明朝"/>
                <w:sz w:val="21"/>
              </w:rPr>
              <w:t>110</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1,193</w:t>
      </w:r>
      <w:r>
        <w:rPr>
          <w:rFonts w:hint="eastAsia" w:ascii="ＭＳ 明朝" w:hAnsi="ＭＳ 明朝" w:eastAsia="ＭＳ 明朝"/>
          <w:sz w:val="24"/>
        </w:rPr>
        <w:t>以下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大日向クリーンパークの放射性セシウム濃度の測定結果</w:t>
      </w:r>
    </w:p>
    <w:tbl>
      <w:tblPr>
        <w:tblStyle w:val="19"/>
        <w:tblW w:w="0" w:type="auto"/>
        <w:tblInd w:w="0" w:type="dxa"/>
        <w:tblLayout w:type="fixed"/>
        <w:tblLook w:firstRow="1" w:lastRow="0" w:firstColumn="1" w:lastColumn="0" w:noHBand="0" w:noVBand="1" w:val="04A0"/>
      </w:tblPr>
      <w:tblGrid>
        <w:gridCol w:w="5245"/>
        <w:gridCol w:w="1050"/>
      </w:tblGrid>
      <w:tr>
        <w:trPr/>
        <w:tc>
          <w:tcPr>
            <w:tcW w:w="5245" w:type="dxa"/>
            <w:shd w:val="clear" w:color="auto" w:themeFill="background2" w:themeFillTint="FF" w:themeFillShade="E6"/>
            <w:vAlign w:val="top"/>
          </w:tcPr>
          <w:p>
            <w:pPr>
              <w:pStyle w:val="0"/>
              <w:rPr>
                <w:rFonts w:hint="eastAsia" w:ascii="ＭＳ 明朝" w:hAnsi="ＭＳ 明朝" w:eastAsia="ＭＳ 明朝"/>
                <w:sz w:val="21"/>
              </w:rPr>
            </w:pPr>
            <w:r>
              <w:rPr>
                <w:rFonts w:hint="eastAsia" w:ascii="ＭＳ 明朝" w:hAnsi="ＭＳ 明朝" w:eastAsia="ＭＳ 明朝"/>
                <w:sz w:val="21"/>
              </w:rPr>
              <w:t>放流水、地下水（井戸上部）、地下水（井戸下部）</w:t>
            </w:r>
          </w:p>
        </w:tc>
        <w:tc>
          <w:tcPr>
            <w:tcW w:w="105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不検出</w:t>
            </w:r>
          </w:p>
        </w:tc>
      </w:tr>
    </w:tbl>
    <w:p>
      <w:pPr>
        <w:pStyle w:val="0"/>
        <w:rPr>
          <w:rFonts w:hint="eastAsia" w:ascii="ＭＳ 明朝" w:hAnsi="ＭＳ 明朝" w:eastAsia="ＭＳ 明朝"/>
          <w:sz w:val="24"/>
        </w:rPr>
      </w:pPr>
      <w:r>
        <w:rPr>
          <w:rFonts w:hint="eastAsia" w:ascii="ＭＳ 明朝" w:hAnsi="ＭＳ 明朝" w:eastAsia="ＭＳ 明朝"/>
          <w:sz w:val="24"/>
        </w:rPr>
        <w:t>※放流水の基準値：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60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90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空間線量の測定結果（単位：マイクロシーベルト</w:t>
      </w:r>
      <w:r>
        <w:rPr>
          <w:rFonts w:hint="eastAsia" w:ascii="ＭＳ 明朝" w:hAnsi="ＭＳ 明朝" w:eastAsia="ＭＳ 明朝"/>
          <w:sz w:val="24"/>
        </w:rPr>
        <w:t>/</w:t>
      </w:r>
      <w:r>
        <w:rPr>
          <w:rFonts w:hint="eastAsia" w:ascii="ＭＳ 明朝" w:hAnsi="ＭＳ 明朝" w:eastAsia="ＭＳ 明朝"/>
          <w:sz w:val="24"/>
        </w:rPr>
        <w:t>時間）</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環境省が市内および大崎地域広域行政事務組合に設置したモニタリングポスト</w:t>
      </w:r>
      <w:r>
        <w:rPr>
          <w:rFonts w:hint="eastAsia" w:ascii="ＭＳ 明朝" w:hAnsi="ＭＳ 明朝" w:eastAsia="ＭＳ 明朝"/>
          <w:sz w:val="24"/>
        </w:rPr>
        <w:t>14</w:t>
      </w:r>
      <w:r>
        <w:rPr>
          <w:rFonts w:hint="eastAsia" w:ascii="ＭＳ 明朝" w:hAnsi="ＭＳ 明朝" w:eastAsia="ＭＳ 明朝"/>
          <w:sz w:val="24"/>
        </w:rPr>
        <w:t>カ所それぞれの空間線量の平均値および最大値については、次の範囲でした。</w:t>
      </w:r>
    </w:p>
    <w:tbl>
      <w:tblPr>
        <w:tblStyle w:val="19"/>
        <w:tblW w:w="0" w:type="auto"/>
        <w:tblInd w:w="0" w:type="dxa"/>
        <w:tblLayout w:type="fixed"/>
        <w:tblLook w:firstRow="1" w:lastRow="0" w:firstColumn="1" w:lastColumn="0" w:noHBand="0" w:noVBand="1" w:val="04A0"/>
      </w:tblPr>
      <w:tblGrid>
        <w:gridCol w:w="1885"/>
        <w:gridCol w:w="3360"/>
        <w:gridCol w:w="3360"/>
      </w:tblGrid>
      <w:tr>
        <w:trPr/>
        <w:tc>
          <w:tcPr>
            <w:tcW w:w="188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測定期間</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平均値</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最大値</w:t>
            </w:r>
          </w:p>
        </w:tc>
      </w:tr>
      <w:tr>
        <w:trPr/>
        <w:tc>
          <w:tcPr>
            <w:tcW w:w="188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w:t>
            </w:r>
            <w:r>
              <w:rPr>
                <w:rFonts w:hint="eastAsia" w:ascii="ＭＳ 明朝" w:hAnsi="ＭＳ 明朝" w:eastAsia="ＭＳ 明朝"/>
                <w:sz w:val="21"/>
              </w:rPr>
              <w:t>31</w:t>
            </w:r>
            <w:r>
              <w:rPr>
                <w:rFonts w:hint="eastAsia" w:ascii="ＭＳ 明朝" w:hAnsi="ＭＳ 明朝" w:eastAsia="ＭＳ 明朝"/>
                <w:sz w:val="21"/>
              </w:rPr>
              <w:t>日</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0.044</w:t>
            </w:r>
            <w:r>
              <w:rPr>
                <w:rFonts w:hint="eastAsia" w:ascii="ＭＳ 明朝" w:hAnsi="ＭＳ 明朝" w:eastAsia="ＭＳ 明朝"/>
                <w:sz w:val="21"/>
              </w:rPr>
              <w:t>～</w:t>
            </w:r>
            <w:r>
              <w:rPr>
                <w:rFonts w:hint="eastAsia" w:ascii="ＭＳ 明朝" w:hAnsi="ＭＳ 明朝" w:eastAsia="ＭＳ 明朝"/>
                <w:sz w:val="21"/>
              </w:rPr>
              <w:t>0.063</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0.087</w:t>
            </w:r>
            <w:r>
              <w:rPr>
                <w:rFonts w:hint="eastAsia" w:ascii="ＭＳ 明朝" w:hAnsi="ＭＳ 明朝" w:eastAsia="ＭＳ 明朝"/>
                <w:sz w:val="21"/>
              </w:rPr>
              <w:t>～</w:t>
            </w:r>
            <w:r>
              <w:rPr>
                <w:rFonts w:hint="eastAsia" w:ascii="ＭＳ 明朝" w:hAnsi="ＭＳ 明朝" w:eastAsia="ＭＳ 明朝"/>
                <w:sz w:val="21"/>
              </w:rPr>
              <w:t>0.120</w:t>
            </w:r>
          </w:p>
        </w:tc>
      </w:tr>
      <w:tr>
        <w:trPr/>
        <w:tc>
          <w:tcPr>
            <w:tcW w:w="188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最大値観測場所</w:t>
            </w:r>
          </w:p>
        </w:tc>
        <w:tc>
          <w:tcPr>
            <w:tcW w:w="336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大崎広域東部クリーンセンター</w:t>
            </w:r>
          </w:p>
        </w:tc>
        <w:tc>
          <w:tcPr>
            <w:tcW w:w="3360" w:type="dxa"/>
            <w:vAlign w:val="center"/>
          </w:tcPr>
          <w:p>
            <w:pPr>
              <w:pStyle w:val="0"/>
              <w:jc w:val="center"/>
              <w:rPr>
                <w:rFonts w:hint="eastAsia" w:ascii="ＭＳ 明朝" w:hAnsi="ＭＳ 明朝" w:eastAsia="ＭＳ 明朝"/>
                <w:b w:val="0"/>
                <w:sz w:val="21"/>
              </w:rPr>
            </w:pPr>
            <w:r>
              <w:rPr>
                <w:rFonts w:hint="eastAsia" w:ascii="ＭＳ 明朝" w:hAnsi="ＭＳ 明朝" w:eastAsia="ＭＳ 明朝"/>
                <w:sz w:val="21"/>
              </w:rPr>
              <w:t>大崎広域東部クリーンセンター</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1"/>
        </w:rPr>
      </w:pPr>
      <w:r>
        <w:rPr>
          <w:rFonts w:hint="eastAsia" w:ascii="ＭＳ 明朝" w:hAnsi="ＭＳ 明朝" w:eastAsia="ＭＳ 明朝"/>
          <w:b w:val="1"/>
          <w:sz w:val="24"/>
          <w:u w:val="none" w:color="auto"/>
        </w:rPr>
        <w:t>12</w:t>
      </w:r>
      <w:r>
        <w:rPr>
          <w:rFonts w:hint="eastAsia" w:ascii="ＭＳ 明朝" w:hAnsi="ＭＳ 明朝" w:eastAsia="ＭＳ 明朝"/>
          <w:b w:val="1"/>
          <w:sz w:val="24"/>
          <w:u w:val="none" w:color="auto"/>
        </w:rPr>
        <w:t>月</w:t>
      </w:r>
      <w:r>
        <w:rPr>
          <w:rFonts w:hint="eastAsia" w:ascii="ＭＳ 明朝" w:hAnsi="ＭＳ 明朝" w:eastAsia="ＭＳ 明朝"/>
          <w:b w:val="1"/>
          <w:sz w:val="24"/>
          <w:u w:val="none" w:color="auto"/>
        </w:rPr>
        <w:t>1</w:t>
      </w:r>
      <w:r>
        <w:rPr>
          <w:rFonts w:hint="eastAsia" w:ascii="ＭＳ 明朝" w:hAnsi="ＭＳ 明朝" w:eastAsia="ＭＳ 明朝"/>
          <w:b w:val="1"/>
          <w:sz w:val="24"/>
          <w:u w:val="none" w:color="auto"/>
        </w:rPr>
        <w:t>日現在の大崎市の人口（単位：人・世帯）</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020"/>
        <w:gridCol w:w="840"/>
        <w:gridCol w:w="840"/>
        <w:gridCol w:w="840"/>
        <w:gridCol w:w="840"/>
        <w:gridCol w:w="840"/>
        <w:gridCol w:w="840"/>
        <w:gridCol w:w="840"/>
      </w:tblGrid>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地域</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男</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女</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世帯数</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36,862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24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37,922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74,784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33,614</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2,517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2,594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5,111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22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2,170</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3,549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24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3,548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7,097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36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2,753</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5,111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5,468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10,579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4,623</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4,477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4,528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9,005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3,995</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鳴子温泉</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2,232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2,382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4,614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2,370</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4,609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9,242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3,657</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市全体</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59,357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32</w:t>
            </w:r>
            <w:bookmarkStart w:id="0" w:name="_GoBack"/>
            <w:bookmarkEnd w:id="0"/>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61,075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53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120,432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85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53,182</w:t>
            </w:r>
          </w:p>
        </w:tc>
      </w:tr>
    </w:tbl>
    <w:p>
      <w:pPr>
        <w:pStyle w:val="0"/>
        <w:ind w:leftChars="0" w:firstLine="0" w:firstLineChars="0"/>
        <w:rPr>
          <w:rFonts w:hint="eastAsia"/>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総務課統計担当　電話</w:t>
      </w:r>
      <w:r>
        <w:rPr>
          <w:rFonts w:hint="eastAsia" w:ascii="ＭＳ 明朝" w:hAnsi="ＭＳ 明朝" w:eastAsia="ＭＳ 明朝"/>
          <w:sz w:val="24"/>
        </w:rPr>
        <w:t>23-5195</w:t>
      </w:r>
    </w:p>
    <w:p>
      <w:pPr>
        <w:pStyle w:val="0"/>
        <w:ind w:leftChars="0" w:firstLine="0" w:firstLineChars="0"/>
        <w:rPr>
          <w:rFonts w:hint="eastAsia"/>
          <w:sz w:val="21"/>
        </w:rPr>
      </w:pPr>
    </w:p>
    <w:p>
      <w:pPr>
        <w:pStyle w:val="0"/>
        <w:rPr>
          <w:rFonts w:hint="eastAsia" w:ascii="ＭＳ 明朝" w:hAnsi="ＭＳ 明朝" w:eastAsia="ＭＳ 明朝"/>
          <w:sz w:val="21"/>
        </w:rPr>
      </w:pPr>
      <w:r>
        <w:rPr>
          <w:rFonts w:hint="eastAsia" w:ascii="ＭＳ 明朝" w:hAnsi="ＭＳ 明朝" w:eastAsia="ＭＳ 明朝"/>
          <w:b w:val="1"/>
          <w:sz w:val="24"/>
        </w:rPr>
        <w:t>今月の納税</w:t>
      </w:r>
    </w:p>
    <w:tbl>
      <w:tblPr>
        <w:tblStyle w:val="19"/>
        <w:tblW w:w="0" w:type="auto"/>
        <w:tblInd w:w="0" w:type="dxa"/>
        <w:tblLayout w:type="fixed"/>
        <w:tblLook w:firstRow="1" w:lastRow="0" w:firstColumn="1" w:lastColumn="0" w:noHBand="0" w:noVBand="1" w:val="04A0"/>
      </w:tblPr>
      <w:tblGrid>
        <w:gridCol w:w="2725"/>
        <w:gridCol w:w="1050"/>
      </w:tblGrid>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市県民税・森林環境税</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4</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国民健康保険税</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7</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介護保険料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7</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後期高齢者医療保険料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7</w:t>
            </w:r>
            <w:r>
              <w:rPr>
                <w:rFonts w:hint="eastAsia" w:ascii="ＭＳ 明朝" w:hAnsi="ＭＳ 明朝" w:eastAsia="ＭＳ 明朝"/>
                <w:sz w:val="24"/>
              </w:rPr>
              <w:t>期</w:t>
            </w:r>
          </w:p>
        </w:tc>
      </w:tr>
    </w:tbl>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納期限：</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日（月曜日）</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※市から送付する納付書や口座振替を利用している人の納期限です。口座振替を利用している人は、記帳などで残高と振替結果を確認してください。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納税課収納担当　電話</w:t>
      </w:r>
      <w:r>
        <w:rPr>
          <w:rFonts w:hint="eastAsia" w:ascii="ＭＳ 明朝" w:hAnsi="ＭＳ 明朝" w:eastAsia="ＭＳ 明朝"/>
          <w:sz w:val="24"/>
        </w:rPr>
        <w:t>23-5148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防災行政無線各種サービス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防災行政無線の放送内容が聞き取れないときなどに、電話で確認することができます。</w:t>
      </w:r>
    </w:p>
    <w:p>
      <w:pPr>
        <w:pStyle w:val="0"/>
        <w:rPr>
          <w:rFonts w:hint="eastAsia" w:ascii="ＭＳ 明朝" w:hAnsi="ＭＳ 明朝" w:eastAsia="ＭＳ 明朝"/>
          <w:sz w:val="24"/>
        </w:rPr>
      </w:pPr>
      <w:r>
        <w:rPr>
          <w:rFonts w:hint="eastAsia" w:ascii="ＭＳ 明朝" w:hAnsi="ＭＳ 明朝" w:eastAsia="ＭＳ 明朝"/>
          <w:sz w:val="24"/>
        </w:rPr>
        <w:t>フリーダイヤル　</w:t>
      </w:r>
      <w:r>
        <w:rPr>
          <w:rFonts w:hint="eastAsia" w:ascii="ＭＳ 明朝" w:hAnsi="ＭＳ 明朝" w:eastAsia="ＭＳ 明朝"/>
          <w:sz w:val="24"/>
        </w:rPr>
        <w:t>0120-</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せ</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600</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054</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また、防災行政無線の放送内容などをメールで入手することができます。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利用する際は、ウェブサイトから登録してください。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大崎市防災ポータル</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災害に必要な情報をリアルタイムに伝えるため、大崎市防災ポータルを開設しました。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災害時の情報収集に活用してください。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年火災発生件数（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11</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種類</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0"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69"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建物火災</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21</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5</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林野火災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車両火災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6</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その他火災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6</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29</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4</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年交通死亡事故件数（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11</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55"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発生件数</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死亡者</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人</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bl>
    <w:p>
      <w:pPr>
        <w:pStyle w:val="0"/>
        <w:rPr>
          <w:rFonts w:hint="eastAsia" w:ascii="ＭＳ 明朝" w:hAnsi="ＭＳ 明朝" w:eastAsia="ＭＳ 明朝"/>
          <w:sz w:val="24"/>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4"/>
          <w:u w:val="none" w:color="auto"/>
        </w:rPr>
        <w:t>空間放射線量の測定結果（単位</w:t>
      </w:r>
      <w:r>
        <w:rPr>
          <w:rFonts w:hint="eastAsia" w:ascii="ＭＳ 明朝" w:hAnsi="ＭＳ 明朝" w:eastAsia="ＭＳ 明朝"/>
          <w:b w:val="1"/>
          <w:sz w:val="24"/>
          <w:u w:val="none" w:color="auto"/>
        </w:rPr>
        <w:t>:</w:t>
      </w:r>
      <w:r>
        <w:rPr>
          <w:rFonts w:hint="eastAsia" w:ascii="ＭＳ 明朝" w:hAnsi="ＭＳ 明朝" w:eastAsia="ＭＳ 明朝"/>
          <w:b w:val="1"/>
          <w:sz w:val="24"/>
          <w:u w:val="none" w:color="auto"/>
        </w:rPr>
        <w:t>マイクロシーベルト</w:t>
      </w:r>
      <w:r>
        <w:rPr>
          <w:rFonts w:hint="eastAsia" w:ascii="ＭＳ 明朝" w:hAnsi="ＭＳ 明朝" w:eastAsia="ＭＳ 明朝"/>
          <w:b w:val="1"/>
          <w:sz w:val="24"/>
          <w:u w:val="none" w:color="auto"/>
        </w:rPr>
        <w:t>/h</w:t>
      </w:r>
      <w:r>
        <w:rPr>
          <w:rFonts w:hint="eastAsia" w:ascii="ＭＳ 明朝" w:hAnsi="ＭＳ 明朝" w:eastAsia="ＭＳ 明朝"/>
          <w:b w:val="1"/>
          <w:sz w:val="24"/>
          <w:u w:val="none" w:color="auto"/>
        </w:rPr>
        <w:t>）</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1621"/>
        <w:gridCol w:w="1680"/>
        <w:gridCol w:w="1680"/>
      </w:tblGrid>
      <w:tr>
        <w:trPr>
          <w:trHeight w:val="201" w:hRule="atLeast"/>
        </w:trPr>
        <w:tc>
          <w:tcPr>
            <w:tcW w:w="1621"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9</w:t>
            </w:r>
            <w:r>
              <w:rPr>
                <w:rFonts w:hint="eastAsia" w:ascii="ＭＳ 明朝" w:hAnsi="ＭＳ 明朝" w:eastAsia="ＭＳ 明朝"/>
                <w:sz w:val="21"/>
              </w:rPr>
              <w:t>日測定</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1m</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0.5m</w:t>
            </w:r>
          </w:p>
        </w:tc>
      </w:tr>
      <w:tr>
        <w:trPr>
          <w:trHeight w:val="35" w:hRule="atLeast"/>
        </w:trPr>
        <w:tc>
          <w:tcPr>
            <w:tcW w:w="1621"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市役所本庁舎</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防災安全課消防担当・交通防犯担当　電話</w:t>
      </w:r>
      <w:r>
        <w:rPr>
          <w:rFonts w:hint="eastAsia" w:ascii="ＭＳ 明朝" w:hAnsi="ＭＳ 明朝" w:eastAsia="ＭＳ 明朝"/>
          <w:sz w:val="24"/>
        </w:rPr>
        <w:t>23-5144</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OTF UD新ゴ Pr6N L">
    <w:panose1 w:val="00000000000000000000"/>
    <w:charset w:val="80"/>
    <w:family w:val="swiss"/>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2227</TotalTime>
  <Pages>4</Pages>
  <Words>219</Words>
  <Characters>1760</Characters>
  <Application>JUST Note</Application>
  <Lines>231</Lines>
  <Paragraphs>208</Paragraphs>
  <CharactersWithSpaces>1816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2024-06-19T08:31:00Z</dcterms:created>
  <dcterms:modified xsi:type="dcterms:W3CDTF">2025-11-19T06:54:52Z</dcterms:modified>
  <cp:revision>10</cp:revision>
</cp:coreProperties>
</file>