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0"/>
          <w:sz w:val="24"/>
        </w:rPr>
      </w:pPr>
      <w:r>
        <w:rPr>
          <w:rFonts w:hint="eastAsia" w:ascii="ＭＳ 明朝" w:hAnsi="ＭＳ 明朝" w:eastAsia="ＭＳ 明朝"/>
          <w:b w:val="1"/>
          <w:sz w:val="32"/>
        </w:rPr>
        <w:fldChar w:fldCharType="begin"/>
      </w:r>
      <w:r>
        <w:rPr>
          <w:rFonts w:hint="eastAsia" w:ascii="ＭＳ 明朝" w:hAnsi="ＭＳ 明朝" w:eastAsia="ＭＳ 明朝"/>
          <w:b w:val="1"/>
          <w:sz w:val="32"/>
        </w:rPr>
        <w:instrText>EQ \* jc2 \* hps16 \o\ad(\s\up 15(</w:instrText>
      </w:r>
      <w:r>
        <w:rPr>
          <w:rFonts w:hint="eastAsia" w:ascii="ＭＳ 明朝" w:hAnsi="ＭＳ 明朝" w:eastAsia="ＭＳ 明朝"/>
          <w:sz w:val="16"/>
        </w:rPr>
        <w:instrText>こ</w:instrText>
      </w:r>
      <w:r>
        <w:rPr>
          <w:rFonts w:hint="eastAsia" w:ascii="ＭＳ 明朝" w:hAnsi="ＭＳ 明朝" w:eastAsia="ＭＳ 明朝"/>
          <w:sz w:val="16"/>
        </w:rPr>
        <w:instrText>つ</w:instrText>
      </w:r>
      <w:r>
        <w:rPr>
          <w:rFonts w:hint="eastAsia" w:ascii="ＭＳ 明朝" w:hAnsi="ＭＳ 明朝" w:eastAsia="ＭＳ 明朝"/>
          <w:b w:val="1"/>
          <w:sz w:val="32"/>
        </w:rPr>
        <w:instrText>),</w:instrText>
      </w:r>
      <w:r>
        <w:rPr>
          <w:rFonts w:hint="eastAsia" w:ascii="ＭＳ 明朝" w:hAnsi="ＭＳ 明朝" w:eastAsia="ＭＳ 明朝"/>
          <w:b w:val="1"/>
          <w:sz w:val="32"/>
        </w:rPr>
        <w:instrText>骨</w:instrText>
      </w:r>
      <w:r>
        <w:rPr>
          <w:rFonts w:hint="eastAsia" w:ascii="ＭＳ 明朝" w:hAnsi="ＭＳ 明朝" w:eastAsia="ＭＳ 明朝"/>
          <w:b w:val="1"/>
          <w:sz w:val="32"/>
        </w:rPr>
        <w:instrText>)</w:instrText>
      </w:r>
      <w:r>
        <w:rPr>
          <w:rFonts w:hint="eastAsia" w:ascii="ＭＳ 明朝" w:hAnsi="ＭＳ 明朝" w:eastAsia="ＭＳ 明朝"/>
          <w:b w:val="1"/>
          <w:sz w:val="32"/>
        </w:rPr>
        <w:fldChar w:fldCharType="end"/>
      </w:r>
      <w:r>
        <w:rPr>
          <w:rFonts w:hint="eastAsia" w:ascii="ＭＳ 明朝" w:hAnsi="ＭＳ 明朝" w:eastAsia="ＭＳ 明朝"/>
          <w:b w:val="1"/>
          <w:sz w:val="32"/>
        </w:rPr>
        <w:fldChar w:fldCharType="begin"/>
      </w:r>
      <w:r>
        <w:rPr>
          <w:rFonts w:hint="eastAsia" w:ascii="ＭＳ 明朝" w:hAnsi="ＭＳ 明朝" w:eastAsia="ＭＳ 明朝"/>
          <w:b w:val="1"/>
          <w:sz w:val="32"/>
        </w:rPr>
        <w:instrText>EQ \* jc2 \* hps16 \o\ad(\s\up 15(</w:instrText>
      </w:r>
      <w:r>
        <w:rPr>
          <w:rFonts w:hint="eastAsia" w:ascii="ＭＳ 明朝" w:hAnsi="ＭＳ 明朝" w:eastAsia="ＭＳ 明朝"/>
          <w:sz w:val="16"/>
        </w:rPr>
        <w:instrText>そ</w:instrText>
      </w:r>
      <w:r>
        <w:rPr>
          <w:rFonts w:hint="eastAsia" w:ascii="ＭＳ 明朝" w:hAnsi="ＭＳ 明朝" w:eastAsia="ＭＳ 明朝"/>
          <w:sz w:val="16"/>
        </w:rPr>
        <w:instrText>っ</w:instrText>
      </w:r>
      <w:r>
        <w:rPr>
          <w:rFonts w:hint="eastAsia" w:ascii="ＭＳ 明朝" w:hAnsi="ＭＳ 明朝" w:eastAsia="ＭＳ 明朝"/>
          <w:sz w:val="16"/>
        </w:rPr>
        <w:instrText>ち</w:instrText>
      </w:r>
      <w:r>
        <w:rPr>
          <w:rFonts w:hint="eastAsia" w:ascii="ＭＳ 明朝" w:hAnsi="ＭＳ 明朝" w:eastAsia="ＭＳ 明朝"/>
          <w:sz w:val="16"/>
        </w:rPr>
        <w:instrText>ゅ</w:instrText>
      </w:r>
      <w:r>
        <w:rPr>
          <w:rFonts w:hint="eastAsia" w:ascii="ＭＳ 明朝" w:hAnsi="ＭＳ 明朝" w:eastAsia="ＭＳ 明朝"/>
          <w:sz w:val="16"/>
        </w:rPr>
        <w:instrText>う</w:instrText>
      </w:r>
      <w:r>
        <w:rPr>
          <w:rFonts w:hint="eastAsia" w:ascii="ＭＳ 明朝" w:hAnsi="ＭＳ 明朝" w:eastAsia="ＭＳ 明朝"/>
          <w:b w:val="1"/>
          <w:sz w:val="32"/>
        </w:rPr>
        <w:instrText>),</w:instrText>
      </w:r>
      <w:r>
        <w:rPr>
          <w:rFonts w:hint="eastAsia" w:ascii="ＭＳ 明朝" w:hAnsi="ＭＳ 明朝" w:eastAsia="ＭＳ 明朝"/>
          <w:b w:val="1"/>
          <w:sz w:val="32"/>
        </w:rPr>
        <w:instrText>卒中</w:instrText>
      </w:r>
      <w:r>
        <w:rPr>
          <w:rFonts w:hint="eastAsia" w:ascii="ＭＳ 明朝" w:hAnsi="ＭＳ 明朝" w:eastAsia="ＭＳ 明朝"/>
          <w:b w:val="1"/>
          <w:sz w:val="32"/>
        </w:rPr>
        <w:instrText>)</w:instrText>
      </w:r>
      <w:r>
        <w:rPr>
          <w:rFonts w:hint="eastAsia" w:ascii="ＭＳ 明朝" w:hAnsi="ＭＳ 明朝" w:eastAsia="ＭＳ 明朝"/>
          <w:b w:val="1"/>
          <w:sz w:val="32"/>
        </w:rPr>
        <w:fldChar w:fldCharType="end"/>
      </w:r>
      <w:r>
        <w:rPr>
          <w:rFonts w:hint="eastAsia" w:ascii="ＭＳ 明朝" w:hAnsi="ＭＳ 明朝" w:eastAsia="ＭＳ 明朝"/>
          <w:b w:val="1"/>
          <w:sz w:val="32"/>
        </w:rPr>
        <w:t>を予防して健康寿命を延ばそう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健康推進課健康増進担当　電話</w:t>
      </w:r>
      <w:r>
        <w:rPr>
          <w:rFonts w:hint="eastAsia" w:ascii="ＭＳ 明朝" w:hAnsi="ＭＳ 明朝" w:eastAsia="ＭＳ 明朝"/>
          <w:b w:val="0"/>
          <w:sz w:val="24"/>
        </w:rPr>
        <w:t>23-2215</w:t>
      </w:r>
    </w:p>
    <w:p>
      <w:pPr>
        <w:pStyle w:val="0"/>
        <w:ind w:leftChars="0" w:firstLine="0" w:firstLineChars="0"/>
        <w:rPr>
          <w:rFonts w:hint="eastAsia" w:ascii="ＭＳ 明朝" w:hAnsi="ＭＳ 明朝" w:eastAsia="ＭＳ 明朝"/>
          <w:b w:val="0"/>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「骨卒中」とは、骨粗しょう症などが原因で起こる大腿たい骨近位部（太もも）や脊椎（背骨）の骨折が、その後の生活に悪影響を及ぼすことを広く知ってもらうためにつくられた造語です。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6</w:t>
      </w:r>
      <w:r>
        <w:rPr>
          <w:rFonts w:hint="eastAsia" w:ascii="ＭＳ 明朝" w:hAnsi="ＭＳ 明朝" w:eastAsia="ＭＳ 明朝"/>
          <w:b w:val="0"/>
          <w:sz w:val="24"/>
        </w:rPr>
        <w:t>年度の市内の後期高齢者の入院費では、脳梗塞に次いで骨折が高くなっています。また、介護申請の理由としても「転倒骨折」が多く見られます。元気で健康な生活を送るためにも、骨卒中の予防に努めまし</w:t>
      </w:r>
      <w:bookmarkStart w:id="0" w:name="_GoBack"/>
      <w:bookmarkEnd w:id="0"/>
      <w:r>
        <w:rPr>
          <w:rFonts w:hint="eastAsia" w:ascii="ＭＳ 明朝" w:hAnsi="ＭＳ 明朝" w:eastAsia="ＭＳ 明朝"/>
          <w:b w:val="0"/>
          <w:sz w:val="24"/>
        </w:rPr>
        <w:t>ょう。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以下の項目について、当てはまる部分の点数を合計して、自分の骨の健康度を確認してみましょう。</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高齢者が骨折を起こしやすい理由</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主に❶筋力・バランス力の低下❷低栄養➌骨粗しょう症の</w:t>
      </w:r>
      <w:r>
        <w:rPr>
          <w:rFonts w:hint="eastAsia" w:ascii="ＭＳ 明朝" w:hAnsi="ＭＳ 明朝" w:eastAsia="ＭＳ 明朝"/>
          <w:b w:val="0"/>
          <w:sz w:val="24"/>
        </w:rPr>
        <w:t>3</w:t>
      </w:r>
      <w:r>
        <w:rPr>
          <w:rFonts w:hint="eastAsia" w:ascii="ＭＳ 明朝" w:hAnsi="ＭＳ 明朝" w:eastAsia="ＭＳ 明朝"/>
          <w:b w:val="0"/>
          <w:sz w:val="24"/>
        </w:rPr>
        <w:t>つが挙げられます。特に女性は、閉経後に急速に骨量が低下し</w:t>
      </w:r>
      <w:r>
        <w:rPr>
          <w:rFonts w:hint="eastAsia" w:ascii="ＭＳ 明朝" w:hAnsi="ＭＳ 明朝" w:eastAsia="ＭＳ 明朝"/>
          <w:b w:val="0"/>
          <w:sz w:val="24"/>
        </w:rPr>
        <w:t>40</w:t>
      </w:r>
      <w:r>
        <w:rPr>
          <w:rFonts w:hint="eastAsia" w:ascii="ＭＳ 明朝" w:hAnsi="ＭＳ 明朝" w:eastAsia="ＭＳ 明朝"/>
          <w:b w:val="0"/>
          <w:sz w:val="24"/>
        </w:rPr>
        <w:t>歳代から骨粗しょう症を発症しやすくなります。また、過去に骨折したことがある人は、骨粗しょう症が潜在している可能性があります。</w:t>
      </w:r>
    </w:p>
    <w:p>
      <w:pPr>
        <w:pStyle w:val="0"/>
        <w:ind w:left="0" w:leftChars="0" w:hanging="240" w:hangingChars="100"/>
        <w:rPr>
          <w:rFonts w:hint="eastAsia" w:ascii="ＭＳ 明朝" w:hAnsi="ＭＳ 明朝" w:eastAsia="ＭＳ 明朝"/>
          <w:b w:val="0"/>
          <w:sz w:val="24"/>
        </w:rPr>
      </w:pPr>
    </w:p>
    <w:p>
      <w:pPr>
        <w:pStyle w:val="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骨の健康度チェック表</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w:t>
      </w:r>
      <w:r>
        <w:rPr>
          <w:rFonts w:hint="eastAsia" w:ascii="ＭＳ 明朝" w:hAnsi="ＭＳ 明朝" w:eastAsia="ＭＳ 明朝"/>
          <w:b w:val="1"/>
          <w:sz w:val="24"/>
          <w:bdr w:val="none" w:color="auto" w:sz="0" w:space="0"/>
        </w:rPr>
        <w:t>チェック項目</w:t>
      </w:r>
    </w:p>
    <w:tbl>
      <w:tblPr>
        <w:tblStyle w:val="18"/>
        <w:tblW w:w="0" w:type="auto"/>
        <w:tblInd w:w="0" w:type="dxa"/>
        <w:tblLayout w:type="fixed"/>
        <w:tblLook w:firstRow="1" w:lastRow="0" w:firstColumn="1" w:lastColumn="0" w:noHBand="0" w:noVBand="1" w:val="04A0"/>
      </w:tblPr>
      <w:tblGrid>
        <w:gridCol w:w="7135"/>
        <w:gridCol w:w="1050"/>
      </w:tblGrid>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▶牛乳、乳製品をあまりとらない</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▶小魚、豆腐をあまりとらない</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▶たばこをよく吸う</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▶お酒をよく飲む方だ</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▶天気の良い日でも、あまり外に出ない</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▶体を動かすことが少ない</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▶最近、背が縮んだような気がする</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▶最近、背中が丸くなり、腰が曲がってきたような気がする</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▶ちょっとしたことで骨折した</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▶体格はどちらかと言えば細身だ</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▶家族に「骨粗鬆症」と診断された人がいる</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▶糖尿病や、消化管の手術を受けたことがある</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点</w:t>
            </w:r>
          </w:p>
        </w:tc>
      </w:tr>
      <w:tr>
        <w:trPr/>
        <w:tc>
          <w:tcPr>
            <w:tcW w:w="713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▶（女性）閉経を迎えた　▶（男性）</w:t>
            </w:r>
            <w:r>
              <w:rPr>
                <w:rFonts w:hint="eastAsia" w:ascii="ＭＳ 明朝" w:hAnsi="ＭＳ 明朝" w:eastAsia="ＭＳ 明朝"/>
                <w:sz w:val="24"/>
              </w:rPr>
              <w:t>70</w:t>
            </w:r>
            <w:r>
              <w:rPr>
                <w:rFonts w:hint="eastAsia" w:ascii="ＭＳ 明朝" w:hAnsi="ＭＳ 明朝" w:eastAsia="ＭＳ 明朝"/>
                <w:sz w:val="24"/>
              </w:rPr>
              <w:t>歳以上である</w:t>
            </w:r>
          </w:p>
        </w:tc>
        <w:tc>
          <w:tcPr>
            <w:tcW w:w="1050" w:type="dxa"/>
            <w:shd w:val="clear" w:color="auto" w:fill="FFA6A6"/>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点</w:t>
            </w:r>
          </w:p>
        </w:tc>
      </w:tr>
    </w:tbl>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■採点表</w:t>
      </w:r>
    </w:p>
    <w:tbl>
      <w:tblPr>
        <w:tblStyle w:val="18"/>
        <w:tblW w:w="0" w:type="auto"/>
        <w:tblInd w:w="0" w:type="dxa"/>
        <w:tblLayout w:type="fixed"/>
        <w:tblLook w:firstRow="1" w:lastRow="0" w:firstColumn="1" w:lastColumn="0" w:noHBand="0" w:noVBand="1" w:val="04A0"/>
      </w:tblPr>
      <w:tblGrid>
        <w:gridCol w:w="1465"/>
        <w:gridCol w:w="7039"/>
      </w:tblGrid>
      <w:tr>
        <w:trPr/>
        <w:tc>
          <w:tcPr>
            <w:tcW w:w="1465" w:type="dxa"/>
            <w:shd w:val="clear" w:color="auto" w:fill="FFA6A6"/>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点以上</w:t>
            </w:r>
          </w:p>
        </w:tc>
        <w:tc>
          <w:tcPr>
            <w:tcW w:w="7039"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骨が弱くなっていると考えられます。一度医師の診察を受けてみてはいかがですか。</w:t>
            </w:r>
          </w:p>
        </w:tc>
      </w:tr>
      <w:tr>
        <w:trPr/>
        <w:tc>
          <w:tcPr>
            <w:tcW w:w="1465" w:type="dxa"/>
            <w:shd w:val="clear" w:color="auto" w:fill="FFA6A6"/>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点</w:t>
            </w:r>
          </w:p>
        </w:tc>
        <w:tc>
          <w:tcPr>
            <w:tcW w:w="7039"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骨が弱くなっている危険性があります。注意しましょう。</w:t>
            </w:r>
          </w:p>
        </w:tc>
      </w:tr>
      <w:tr>
        <w:trPr/>
        <w:tc>
          <w:tcPr>
            <w:tcW w:w="1465" w:type="dxa"/>
            <w:shd w:val="clear" w:color="auto" w:fill="FFA6A6"/>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点</w:t>
            </w:r>
          </w:p>
        </w:tc>
        <w:tc>
          <w:tcPr>
            <w:tcW w:w="7039"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骨が弱くなる可能性があります。気を付けましょう。</w:t>
            </w:r>
          </w:p>
        </w:tc>
      </w:tr>
      <w:tr>
        <w:trPr/>
        <w:tc>
          <w:tcPr>
            <w:tcW w:w="1465" w:type="dxa"/>
            <w:shd w:val="clear" w:color="auto" w:fill="FFA6A6"/>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点以下</w:t>
            </w:r>
          </w:p>
        </w:tc>
        <w:tc>
          <w:tcPr>
            <w:tcW w:w="7039"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今は心配ないと考えられます。これからも骨の健康を維持しましょう。改善できる生活習慣があれば、改善しましょう。</w:t>
            </w:r>
          </w:p>
        </w:tc>
      </w:tr>
    </w:tbl>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林</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や</w:instrText>
      </w:r>
      <w:r>
        <w:rPr>
          <w:rFonts w:hint="eastAsia" w:ascii="ＭＳ 明朝" w:hAnsi="ＭＳ 明朝" w:eastAsia="ＭＳ 明朝"/>
          <w:sz w:val="12"/>
          <w:bdr w:val="none" w:color="auto" w:sz="0" w:space="0"/>
        </w:rPr>
        <w:instrText>す</w:instrText>
      </w:r>
      <w:r>
        <w:rPr>
          <w:rFonts w:hint="eastAsia" w:ascii="ＭＳ 明朝" w:hAnsi="ＭＳ 明朝" w:eastAsia="ＭＳ 明朝"/>
          <w:sz w:val="12"/>
          <w:bdr w:val="none" w:color="auto" w:sz="0" w:space="0"/>
        </w:rPr>
        <w:instrText>ふ</w:instrText>
      </w:r>
      <w:r>
        <w:rPr>
          <w:rFonts w:hint="eastAsia" w:ascii="ＭＳ 明朝" w:hAnsi="ＭＳ 明朝" w:eastAsia="ＭＳ 明朝"/>
          <w:sz w:val="12"/>
          <w:bdr w:val="none" w:color="auto" w:sz="0" w:space="0"/>
        </w:rPr>
        <w:instrText>み</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泰史</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原宿リハビリテーション病院名誉院長</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考案</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公益財団法人骨粗</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し</w:instrText>
      </w:r>
      <w:r>
        <w:rPr>
          <w:rFonts w:hint="eastAsia" w:ascii="ＭＳ 明朝" w:hAnsi="ＭＳ 明朝" w:eastAsia="ＭＳ 明朝"/>
          <w:sz w:val="12"/>
          <w:bdr w:val="none" w:color="auto" w:sz="0" w:space="0"/>
        </w:rPr>
        <w:instrText>ょ</w:instrText>
      </w:r>
      <w:r>
        <w:rPr>
          <w:rFonts w:hint="eastAsia" w:ascii="ＭＳ 明朝" w:hAnsi="ＭＳ 明朝" w:eastAsia="ＭＳ 明朝"/>
          <w:sz w:val="12"/>
          <w:bdr w:val="none" w:color="auto" w:sz="0" w:space="0"/>
        </w:rPr>
        <w:instrText>う</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鬆</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症財団企画『骨粗鬆症</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検診・保健指導マニュアル第</w:t>
      </w:r>
      <w:r>
        <w:rPr>
          <w:rFonts w:hint="eastAsia" w:ascii="ＭＳ 明朝" w:hAnsi="ＭＳ 明朝" w:eastAsia="ＭＳ 明朝"/>
          <w:b w:val="0"/>
          <w:sz w:val="24"/>
          <w:bdr w:val="none" w:color="auto" w:sz="0" w:space="0"/>
        </w:rPr>
        <w:t>2</w:t>
      </w:r>
      <w:r>
        <w:rPr>
          <w:rFonts w:hint="eastAsia" w:ascii="ＭＳ 明朝" w:hAnsi="ＭＳ 明朝" w:eastAsia="ＭＳ 明朝"/>
          <w:b w:val="0"/>
          <w:sz w:val="24"/>
          <w:bdr w:val="none" w:color="auto" w:sz="0" w:space="0"/>
        </w:rPr>
        <w:t>版』より引用）</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骨卒中を予防する</w:t>
      </w:r>
      <w:r>
        <w:rPr>
          <w:rFonts w:hint="eastAsia" w:ascii="ＭＳ 明朝" w:hAnsi="ＭＳ 明朝" w:eastAsia="ＭＳ 明朝"/>
          <w:b w:val="1"/>
          <w:sz w:val="24"/>
          <w:bdr w:val="none" w:color="auto" w:sz="0" w:space="0"/>
        </w:rPr>
        <w:t>3</w:t>
      </w:r>
      <w:r>
        <w:rPr>
          <w:rFonts w:hint="eastAsia" w:ascii="ＭＳ 明朝" w:hAnsi="ＭＳ 明朝" w:eastAsia="ＭＳ 明朝"/>
          <w:b w:val="1"/>
          <w:sz w:val="24"/>
          <w:bdr w:val="none" w:color="auto" w:sz="0" w:space="0"/>
        </w:rPr>
        <w:t>つのポイント</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❶転倒を予防するための運動</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スクワットや片脚立ちなど、室内でもできる運動で足腰を鍛えましょう。</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スクワット</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脚の筋力</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　</w:t>
      </w:r>
      <w:r>
        <w:rPr>
          <w:rFonts w:hint="eastAsia" w:ascii="ＭＳ 明朝" w:hAnsi="ＭＳ 明朝" w:eastAsia="ＭＳ 明朝"/>
          <w:b w:val="1"/>
          <w:sz w:val="24"/>
          <w:bdr w:val="none" w:color="auto" w:sz="0" w:space="0"/>
        </w:rPr>
        <w:t>5</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6</w:t>
      </w:r>
      <w:r>
        <w:rPr>
          <w:rFonts w:hint="eastAsia" w:ascii="ＭＳ 明朝" w:hAnsi="ＭＳ 明朝" w:eastAsia="ＭＳ 明朝"/>
          <w:b w:val="1"/>
          <w:sz w:val="24"/>
          <w:bdr w:val="none" w:color="auto" w:sz="0" w:space="0"/>
        </w:rPr>
        <w:t>回</w:t>
      </w:r>
      <w:r>
        <w:rPr>
          <w:rFonts w:hint="eastAsia" w:ascii="ＭＳ 明朝" w:hAnsi="ＭＳ 明朝" w:eastAsia="ＭＳ 明朝"/>
          <w:b w:val="1"/>
          <w:sz w:val="24"/>
          <w:bdr w:val="none" w:color="auto" w:sz="0" w:space="0"/>
        </w:rPr>
        <w:t>1</w:t>
      </w:r>
      <w:r>
        <w:rPr>
          <w:rFonts w:hint="eastAsia" w:ascii="ＭＳ 明朝" w:hAnsi="ＭＳ 明朝" w:eastAsia="ＭＳ 明朝"/>
          <w:b w:val="1"/>
          <w:sz w:val="24"/>
          <w:bdr w:val="none" w:color="auto" w:sz="0" w:space="0"/>
        </w:rPr>
        <w:t>セットを</w:t>
      </w:r>
      <w:r>
        <w:rPr>
          <w:rFonts w:hint="eastAsia" w:ascii="ＭＳ 明朝" w:hAnsi="ＭＳ 明朝" w:eastAsia="ＭＳ 明朝"/>
          <w:b w:val="1"/>
          <w:sz w:val="24"/>
          <w:bdr w:val="none" w:color="auto" w:sz="0" w:space="0"/>
        </w:rPr>
        <w:t>1</w:t>
      </w:r>
      <w:r>
        <w:rPr>
          <w:rFonts w:hint="eastAsia" w:ascii="ＭＳ 明朝" w:hAnsi="ＭＳ 明朝" w:eastAsia="ＭＳ 明朝"/>
          <w:b w:val="1"/>
          <w:sz w:val="24"/>
          <w:bdr w:val="none" w:color="auto" w:sz="0" w:space="0"/>
        </w:rPr>
        <w:t>日</w:t>
      </w:r>
      <w:r>
        <w:rPr>
          <w:rFonts w:hint="eastAsia" w:ascii="ＭＳ 明朝" w:hAnsi="ＭＳ 明朝" w:eastAsia="ＭＳ 明朝"/>
          <w:b w:val="1"/>
          <w:sz w:val="24"/>
          <w:bdr w:val="none" w:color="auto" w:sz="0" w:space="0"/>
        </w:rPr>
        <w:t>3</w:t>
      </w:r>
      <w:r>
        <w:rPr>
          <w:rFonts w:hint="eastAsia" w:ascii="ＭＳ 明朝" w:hAnsi="ＭＳ 明朝" w:eastAsia="ＭＳ 明朝"/>
          <w:b w:val="1"/>
          <w:sz w:val="24"/>
          <w:bdr w:val="none" w:color="auto" w:sz="0" w:space="0"/>
        </w:rPr>
        <w:t>セット</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足を肩幅に広げて立ちます。</w:t>
      </w:r>
    </w:p>
    <w:p>
      <w:pPr>
        <w:pStyle w:val="0"/>
        <w:ind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2)</w:t>
      </w:r>
      <w:r>
        <w:rPr>
          <w:rFonts w:hint="eastAsia" w:ascii="ＭＳ 明朝" w:hAnsi="ＭＳ 明朝" w:eastAsia="ＭＳ 明朝"/>
          <w:b w:val="0"/>
          <w:sz w:val="24"/>
          <w:bdr w:val="none" w:color="auto" w:sz="0" w:space="0"/>
        </w:rPr>
        <w:t>おしりを引きながらゆっくりと膝を曲げ、ゆっくりと戻ります。（膝がつま先より前に出ないように</w:t>
      </w:r>
      <w:r>
        <w:rPr>
          <w:rFonts w:hint="eastAsia" w:ascii="ＭＳ 明朝" w:hAnsi="ＭＳ 明朝" w:eastAsia="ＭＳ 明朝"/>
          <w:b w:val="0"/>
          <w:sz w:val="24"/>
          <w:bdr w:val="none" w:color="auto" w:sz="0" w:space="0"/>
        </w:rPr>
        <w:t>)</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※立ってのスクワットができない場合は椅子や机を使いましょう。</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片脚立ち</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バランス能力</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　左右</w:t>
      </w:r>
      <w:r>
        <w:rPr>
          <w:rFonts w:hint="eastAsia" w:ascii="ＭＳ 明朝" w:hAnsi="ＭＳ 明朝" w:eastAsia="ＭＳ 明朝"/>
          <w:b w:val="1"/>
          <w:sz w:val="24"/>
          <w:bdr w:val="none" w:color="auto" w:sz="0" w:space="0"/>
        </w:rPr>
        <w:t>1</w:t>
      </w:r>
      <w:r>
        <w:rPr>
          <w:rFonts w:hint="eastAsia" w:ascii="ＭＳ 明朝" w:hAnsi="ＭＳ 明朝" w:eastAsia="ＭＳ 明朝"/>
          <w:b w:val="1"/>
          <w:sz w:val="24"/>
          <w:bdr w:val="none" w:color="auto" w:sz="0" w:space="0"/>
        </w:rPr>
        <w:t>分間</w:t>
      </w:r>
      <w:r>
        <w:rPr>
          <w:rFonts w:hint="eastAsia" w:ascii="ＭＳ 明朝" w:hAnsi="ＭＳ 明朝" w:eastAsia="ＭＳ 明朝"/>
          <w:b w:val="1"/>
          <w:sz w:val="24"/>
          <w:bdr w:val="none" w:color="auto" w:sz="0" w:space="0"/>
        </w:rPr>
        <w:t>1</w:t>
      </w:r>
      <w:r>
        <w:rPr>
          <w:rFonts w:hint="eastAsia" w:ascii="ＭＳ 明朝" w:hAnsi="ＭＳ 明朝" w:eastAsia="ＭＳ 明朝"/>
          <w:b w:val="1"/>
          <w:sz w:val="24"/>
          <w:bdr w:val="none" w:color="auto" w:sz="0" w:space="0"/>
        </w:rPr>
        <w:t>セットを</w:t>
      </w:r>
      <w:r>
        <w:rPr>
          <w:rFonts w:hint="eastAsia" w:ascii="ＭＳ 明朝" w:hAnsi="ＭＳ 明朝" w:eastAsia="ＭＳ 明朝"/>
          <w:b w:val="1"/>
          <w:sz w:val="24"/>
          <w:bdr w:val="none" w:color="auto" w:sz="0" w:space="0"/>
        </w:rPr>
        <w:t>1</w:t>
      </w:r>
      <w:r>
        <w:rPr>
          <w:rFonts w:hint="eastAsia" w:ascii="ＭＳ 明朝" w:hAnsi="ＭＳ 明朝" w:eastAsia="ＭＳ 明朝"/>
          <w:b w:val="1"/>
          <w:sz w:val="24"/>
          <w:bdr w:val="none" w:color="auto" w:sz="0" w:space="0"/>
        </w:rPr>
        <w:t>日</w:t>
      </w:r>
      <w:r>
        <w:rPr>
          <w:rFonts w:hint="eastAsia" w:ascii="ＭＳ 明朝" w:hAnsi="ＭＳ 明朝" w:eastAsia="ＭＳ 明朝"/>
          <w:b w:val="1"/>
          <w:sz w:val="24"/>
          <w:bdr w:val="none" w:color="auto" w:sz="0" w:space="0"/>
        </w:rPr>
        <w:t>3</w:t>
      </w:r>
      <w:r>
        <w:rPr>
          <w:rFonts w:hint="eastAsia" w:ascii="ＭＳ 明朝" w:hAnsi="ＭＳ 明朝" w:eastAsia="ＭＳ 明朝"/>
          <w:b w:val="1"/>
          <w:sz w:val="24"/>
          <w:bdr w:val="none" w:color="auto" w:sz="0" w:space="0"/>
        </w:rPr>
        <w:t>セット</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床につかない程度に片脚を上げて</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分間バランスをとります。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※転倒しないように必ずつかまるものがある場所で行いましょう。</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❷骨を強くする食事</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骨の材料になるタンパク質やカルシウムを積極的に摂取しましょう。</w:t>
      </w:r>
    </w:p>
    <w:tbl>
      <w:tblPr>
        <w:tblStyle w:val="18"/>
        <w:tblW w:w="0" w:type="auto"/>
        <w:tblInd w:w="0" w:type="dxa"/>
        <w:tblLayout w:type="fixed"/>
        <w:tblLook w:firstRow="1" w:lastRow="0" w:firstColumn="1" w:lastColumn="0" w:noHBand="0" w:noVBand="1" w:val="04A0"/>
      </w:tblPr>
      <w:tblGrid>
        <w:gridCol w:w="4252"/>
        <w:gridCol w:w="4252"/>
      </w:tblGrid>
      <w:tr>
        <w:trPr/>
        <w:tc>
          <w:tcPr>
            <w:tcW w:w="4252"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栄養素</w:t>
            </w:r>
          </w:p>
        </w:tc>
        <w:tc>
          <w:tcPr>
            <w:tcW w:w="4252"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該当する栄養素が多く含まれる食材</w:t>
            </w:r>
          </w:p>
        </w:tc>
      </w:tr>
      <w:tr>
        <w:trPr/>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たんぱく質（骨の材料</w:t>
            </w:r>
            <w:r>
              <w:rPr>
                <w:rFonts w:hint="eastAsia" w:ascii="ＭＳ 明朝" w:hAnsi="ＭＳ 明朝" w:eastAsia="ＭＳ 明朝"/>
                <w:sz w:val="24"/>
              </w:rPr>
              <w:t>)</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肉・魚、卵、乳製品、大豆製品など</w:t>
            </w:r>
          </w:p>
        </w:tc>
      </w:tr>
      <w:tr>
        <w:trPr/>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カルシウム（骨の材料</w:t>
            </w:r>
            <w:r>
              <w:rPr>
                <w:rFonts w:hint="eastAsia" w:ascii="ＭＳ 明朝" w:hAnsi="ＭＳ 明朝" w:eastAsia="ＭＳ 明朝"/>
                <w:sz w:val="24"/>
              </w:rPr>
              <w:t>)</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小魚、乳製品、大豆製品、海藻類など</w:t>
            </w:r>
          </w:p>
        </w:tc>
      </w:tr>
      <w:tr>
        <w:trPr/>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ビタミン</w:t>
            </w:r>
            <w:r>
              <w:rPr>
                <w:rFonts w:hint="eastAsia" w:ascii="ＭＳ 明朝" w:hAnsi="ＭＳ 明朝" w:eastAsia="ＭＳ 明朝"/>
                <w:sz w:val="24"/>
              </w:rPr>
              <w:t>D</w:t>
            </w:r>
            <w:r>
              <w:rPr>
                <w:rFonts w:hint="eastAsia" w:ascii="ＭＳ 明朝" w:hAnsi="ＭＳ 明朝" w:eastAsia="ＭＳ 明朝"/>
                <w:sz w:val="24"/>
              </w:rPr>
              <w:t>（カルシウムの吸収を促進</w:t>
            </w:r>
            <w:r>
              <w:rPr>
                <w:rFonts w:hint="eastAsia" w:ascii="ＭＳ 明朝" w:hAnsi="ＭＳ 明朝" w:eastAsia="ＭＳ 明朝"/>
                <w:sz w:val="24"/>
              </w:rPr>
              <w:t>)</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魚、きのこ類など</w:t>
            </w:r>
          </w:p>
        </w:tc>
      </w:tr>
      <w:tr>
        <w:trPr/>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ビタミン</w:t>
            </w:r>
            <w:r>
              <w:rPr>
                <w:rFonts w:hint="eastAsia" w:ascii="ＭＳ 明朝" w:hAnsi="ＭＳ 明朝" w:eastAsia="ＭＳ 明朝"/>
                <w:sz w:val="24"/>
              </w:rPr>
              <w:t>K</w:t>
            </w:r>
            <w:r>
              <w:rPr>
                <w:rFonts w:hint="eastAsia" w:ascii="ＭＳ 明朝" w:hAnsi="ＭＳ 明朝" w:eastAsia="ＭＳ 明朝"/>
                <w:sz w:val="24"/>
              </w:rPr>
              <w:t>（骨の代謝を促進</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p>
        </w:tc>
        <w:tc>
          <w:tcPr>
            <w:tcW w:w="4252" w:type="dxa"/>
            <w:vAlign w:val="top"/>
          </w:tcPr>
          <w:p>
            <w:pPr>
              <w:pStyle w:val="0"/>
              <w:rPr>
                <w:rFonts w:hint="eastAsia" w:ascii="ＭＳ 明朝" w:hAnsi="ＭＳ 明朝" w:eastAsia="ＭＳ 明朝"/>
                <w:sz w:val="24"/>
              </w:rPr>
            </w:pPr>
            <w:r>
              <w:rPr>
                <w:rFonts w:hint="eastAsia" w:ascii="ＭＳ 明朝" w:hAnsi="ＭＳ 明朝" w:eastAsia="ＭＳ 明朝"/>
                <w:sz w:val="24"/>
              </w:rPr>
              <w:t>納豆、緑黄色野菜、海藻類など</w:t>
            </w:r>
          </w:p>
        </w:tc>
      </w:tr>
    </w:tbl>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※抗凝固剤を服用している場合、薬の効果を妨げる恐れがあるため、主治医に相談してください。</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➌転倒しにくい自宅の環境づくり</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▶日が暮れたら早めに照明をつけるなど、明るい室内を心がけましょう。</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▶つまづいたり滑ったりしないように、床や階段周りは小まめに片付け、玄関やキッチン、脱衣所、浴室などの滑りやすい場所では滑り止めや手すりを付ける対策をしましょう。</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▶高いところの荷物を取るときは踏み台を使いましょう。</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骨粗しょう症検診で自分の骨の状態を知りましょう</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検診は定期的に受け、精密検査が必要になった場合は必ず整形外科を受診し、自己判断で治療を中断せず継続することが大切です。市の骨粗しょう症検診について、市ウェブサイトを確認するか、問い合わせください。</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ゴ Pr6N DB">
    <w:panose1 w:val="00000000000000000000"/>
    <w:charset w:val="80"/>
    <w:family w:val="swiss"/>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800000000000000"/>
    <w:charset w:val="80"/>
    <w:family w:val="modern"/>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AR丸ゴシック体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1115</TotalTime>
  <Pages>2</Pages>
  <Words>44</Words>
  <Characters>1664</Characters>
  <Application>JUST Note</Application>
  <Lines>98</Lines>
  <Paragraphs>74</Paragraphs>
  <CharactersWithSpaces>1678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佐々木　麻衣</cp:lastModifiedBy>
  <dcterms:created xsi:type="dcterms:W3CDTF">2025-05-19T04:11:00Z</dcterms:created>
  <dcterms:modified xsi:type="dcterms:W3CDTF">2026-01-22T02:13:41Z</dcterms:modified>
  <cp:revision>5</cp:revision>
</cp:coreProperties>
</file>