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bookmarkStart w:id="0" w:name="_GoBack"/>
      <w:bookmarkEnd w:id="0"/>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□各種測定結果（混焼期間：</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31</w:t>
      </w:r>
      <w:r>
        <w:rPr>
          <w:rFonts w:hint="eastAsia" w:ascii="ＭＳ 明朝" w:hAnsi="ＭＳ 明朝" w:eastAsia="ＭＳ 明朝"/>
          <w:b w:val="1"/>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❖焼却内容の実績（単位：ベクレル</w:t>
      </w:r>
      <w:r>
        <w:rPr>
          <w:rFonts w:hint="eastAsia" w:ascii="ＭＳ 明朝" w:hAnsi="ＭＳ 明朝" w:eastAsia="ＭＳ 明朝"/>
          <w:b w:val="1"/>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25.61</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1.76</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27.37</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7,996</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7,739</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❖焼却灰などの測定結果（単位：ベクレル</w:t>
      </w:r>
      <w:r>
        <w:rPr>
          <w:rFonts w:hint="eastAsia" w:ascii="ＭＳ 明朝" w:hAnsi="ＭＳ 明朝" w:eastAsia="ＭＳ 明朝"/>
          <w:b w:val="1"/>
          <w:sz w:val="24"/>
        </w:rPr>
        <w:t>/kg</w:t>
      </w:r>
      <w:r>
        <w:rPr>
          <w:rFonts w:hint="eastAsia" w:ascii="ＭＳ 明朝" w:hAnsi="ＭＳ 明朝" w:eastAsia="ＭＳ 明朝"/>
          <w:b w:val="1"/>
          <w:sz w:val="24"/>
        </w:rPr>
        <w:t>）</w:t>
      </w:r>
    </w:p>
    <w:tbl>
      <w:tblPr>
        <w:tblStyle w:val="19"/>
        <w:tblW w:w="0" w:type="auto"/>
        <w:tblInd w:w="0" w:type="dxa"/>
        <w:tblLayout w:type="fixed"/>
        <w:tblLook w:firstRow="1" w:lastRow="0" w:firstColumn="1" w:lastColumn="0" w:noHBand="0" w:noVBand="1" w:val="04A0"/>
      </w:tblPr>
      <w:tblGrid>
        <w:gridCol w:w="1045"/>
        <w:gridCol w:w="1757"/>
        <w:gridCol w:w="2233"/>
      </w:tblGrid>
      <w:tr>
        <w:trPr/>
        <w:tc>
          <w:tcPr>
            <w:tcW w:w="1045"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2233" w:type="dxa"/>
            <w:shd w:val="clear" w:color="auto" w:fill="D4F3B5"/>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73</w:t>
            </w:r>
            <w:r>
              <w:rPr>
                <w:rFonts w:hint="eastAsia" w:ascii="ＭＳ 明朝" w:hAnsi="ＭＳ 明朝" w:eastAsia="ＭＳ 明朝"/>
                <w:sz w:val="21"/>
              </w:rPr>
              <w:t>～</w:t>
            </w:r>
            <w:r>
              <w:rPr>
                <w:rFonts w:hint="eastAsia" w:ascii="ＭＳ 明朝" w:hAnsi="ＭＳ 明朝" w:eastAsia="ＭＳ 明朝"/>
                <w:sz w:val="21"/>
              </w:rPr>
              <w:t>440</w:t>
            </w:r>
          </w:p>
        </w:tc>
        <w:tc>
          <w:tcPr>
            <w:tcW w:w="223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41</w:t>
            </w:r>
            <w:r>
              <w:rPr>
                <w:rFonts w:hint="eastAsia" w:ascii="ＭＳ 明朝" w:hAnsi="ＭＳ 明朝" w:eastAsia="ＭＳ 明朝"/>
                <w:sz w:val="21"/>
              </w:rPr>
              <w:t>～</w:t>
            </w:r>
            <w:r>
              <w:rPr>
                <w:rFonts w:hint="eastAsia" w:ascii="ＭＳ 明朝" w:hAnsi="ＭＳ 明朝" w:eastAsia="ＭＳ 明朝"/>
                <w:sz w:val="21"/>
              </w:rPr>
              <w:t>260</w:t>
            </w:r>
          </w:p>
        </w:tc>
      </w:tr>
      <w:tr>
        <w:trPr/>
        <w:tc>
          <w:tcPr>
            <w:tcW w:w="1045" w:type="dxa"/>
            <w:shd w:val="clear" w:color="auto" w:themeFill="background2" w:themeFillTint="FF" w:themeFillShade="E6"/>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w:t>
            </w:r>
            <w:r>
              <w:rPr>
                <w:rFonts w:hint="eastAsia" w:ascii="ＭＳ 明朝" w:hAnsi="ＭＳ 明朝" w:eastAsia="ＭＳ 明朝"/>
                <w:sz w:val="21"/>
              </w:rPr>
              <w:t>110</w:t>
            </w:r>
          </w:p>
        </w:tc>
        <w:tc>
          <w:tcPr>
            <w:tcW w:w="223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r>
              <w:rPr>
                <w:rFonts w:hint="eastAsia" w:ascii="ＭＳ 明朝" w:hAnsi="ＭＳ 明朝" w:eastAsia="ＭＳ 明朝"/>
                <w:sz w:val="21"/>
              </w:rPr>
              <w:t>77</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❖空間線量の測定結果（単位：マイクロシーベルト</w:t>
      </w:r>
      <w:r>
        <w:rPr>
          <w:rFonts w:hint="eastAsia" w:ascii="ＭＳ 明朝" w:hAnsi="ＭＳ 明朝" w:eastAsia="ＭＳ 明朝"/>
          <w:b w:val="1"/>
          <w:sz w:val="24"/>
        </w:rPr>
        <w:t>/h</w:t>
      </w:r>
      <w:r>
        <w:rPr>
          <w:rFonts w:hint="eastAsia" w:ascii="ＭＳ 明朝" w:hAnsi="ＭＳ 明朝" w:eastAsia="ＭＳ 明朝"/>
          <w:b w:val="1"/>
          <w:sz w:val="24"/>
        </w:rPr>
        <w:t>）</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31</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0.043</w:t>
            </w:r>
            <w:r>
              <w:rPr>
                <w:rFonts w:hint="eastAsia" w:ascii="ＭＳ 明朝" w:hAnsi="ＭＳ 明朝" w:eastAsia="ＭＳ 明朝"/>
                <w:sz w:val="21"/>
              </w:rPr>
              <w:t>～</w:t>
            </w:r>
            <w:r>
              <w:rPr>
                <w:rFonts w:hint="eastAsia" w:ascii="ＭＳ 明朝" w:hAnsi="ＭＳ 明朝" w:eastAsia="ＭＳ 明朝"/>
                <w:sz w:val="21"/>
              </w:rPr>
              <w:t>0.058</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0.078</w:t>
            </w:r>
            <w:r>
              <w:rPr>
                <w:rFonts w:hint="eastAsia" w:ascii="ＭＳ 明朝" w:hAnsi="ＭＳ 明朝" w:eastAsia="ＭＳ 明朝"/>
                <w:sz w:val="21"/>
              </w:rPr>
              <w:t>～</w:t>
            </w:r>
            <w:r>
              <w:rPr>
                <w:rFonts w:hint="eastAsia" w:ascii="ＭＳ 明朝" w:hAnsi="ＭＳ 明朝" w:eastAsia="ＭＳ 明朝"/>
                <w:sz w:val="21"/>
              </w:rPr>
              <w:t>0.114</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黒崎生活改善センター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3</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36,832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37,878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74,710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33,631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2,498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2,578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5,076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2,174</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3,535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7,063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2,743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5,082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5,438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10,520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4,615</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4,433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4,490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8,923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3,971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2,367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4,580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2,349</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4,579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4,589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9,168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3,654</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59,172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60,868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120,040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53,137</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月から市税などの納付が始まります。口座振替は、納付書に比べて手間が省け、納め忘れがなく便利です。次のいずれかの方法で申し込みができます。詳しくは、納税課まで問い合わせください。</w:t>
      </w:r>
    </w:p>
    <w:p>
      <w:pPr>
        <w:pStyle w:val="0"/>
        <w:rPr>
          <w:rFonts w:hint="eastAsia" w:ascii="ＭＳ 明朝" w:hAnsi="ＭＳ 明朝" w:eastAsia="ＭＳ 明朝"/>
          <w:sz w:val="24"/>
        </w:rPr>
      </w:pPr>
      <w:r>
        <w:rPr>
          <w:rFonts w:hint="eastAsia" w:ascii="ＭＳ 明朝" w:hAnsi="ＭＳ 明朝" w:eastAsia="ＭＳ 明朝"/>
          <w:b w:val="1"/>
          <w:sz w:val="24"/>
        </w:rPr>
        <w:t>申込方法</w:t>
      </w:r>
      <w:r>
        <w:rPr>
          <w:rFonts w:hint="eastAsia" w:ascii="ＭＳ 明朝" w:hAnsi="ＭＳ 明朝" w:eastAsia="ＭＳ 明朝"/>
          <w:sz w:val="24"/>
        </w:rPr>
        <w:t>　❶金融機関窓口へ口座振替依頼書を提出❷スマートフォンやパソコンから</w:t>
      </w:r>
      <w:r>
        <w:rPr>
          <w:rFonts w:hint="eastAsia" w:ascii="ＭＳ 明朝" w:hAnsi="ＭＳ 明朝" w:eastAsia="ＭＳ 明朝"/>
          <w:sz w:val="24"/>
        </w:rPr>
        <w:t>Web</w:t>
      </w:r>
      <w:r>
        <w:rPr>
          <w:rFonts w:hint="eastAsia" w:ascii="ＭＳ 明朝" w:hAnsi="ＭＳ 明朝" w:eastAsia="ＭＳ 明朝"/>
          <w:sz w:val="24"/>
        </w:rPr>
        <w:t>口座振替受付サービスを利用❸納税課または各総合支所市民福祉課で、ペイジー口座振替受付サービスを利用</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2</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9</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4</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2</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11</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2289</TotalTime>
  <Pages>4</Pages>
  <Words>215</Words>
  <Characters>1806</Characters>
  <Application>JUST Note</Application>
  <Lines>230</Lines>
  <Paragraphs>200</Paragraphs>
  <CharactersWithSpaces>1848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2026-03-19T01:04:31Z</dcterms:modified>
  <cp:revision>10</cp:revision>
</cp:coreProperties>
</file>