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000000" w:themeColor="text1"/>
          <w:sz w:val="21"/>
        </w:rPr>
      </w:pPr>
      <w:r>
        <w:rPr>
          <w:rFonts w:hint="eastAsia" w:ascii="ＭＳ 明朝" w:hAnsi="ＭＳ 明朝" w:eastAsia="ＭＳ 明朝"/>
          <w:color w:val="auto"/>
          <w:sz w:val="21"/>
        </w:rPr>
        <w:t>大崎市教育委員会公</w:t>
      </w:r>
      <w:r>
        <w:rPr>
          <w:rFonts w:hint="eastAsia" w:ascii="ＭＳ 明朝" w:hAnsi="ＭＳ 明朝" w:eastAsia="ＭＳ 明朝"/>
          <w:color w:val="000000" w:themeColor="text1"/>
          <w:sz w:val="21"/>
        </w:rPr>
        <w:t>告第１５号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令和８年４月７日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2026000348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田尻総合体育館除草等環境整備業務</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（２）場　　所　</w:t>
      </w:r>
      <w:r>
        <w:rPr>
          <w:rFonts w:hint="eastAsia" w:ascii="ＭＳ 明朝" w:hAnsi="ＭＳ 明朝" w:eastAsia="ＭＳ 明朝"/>
          <w:color w:val="000000" w:themeColor="text1"/>
          <w:sz w:val="21"/>
        </w:rPr>
        <w:t>大崎市田尻沼部字早稲田４２番地</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（３）期　　間　契約締結日の翌日から令和９年３月１９日まで</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（４）業務概要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〇業務内容</w:t>
      </w:r>
      <w:bookmarkStart w:id="0" w:name="_GoBack"/>
      <w:bookmarkEnd w:id="0"/>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＊除草作業…７回実施，集草・処分は不要</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＊側溝落ち葉等回収・運搬…５回実施</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（６）</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ＭＳ 明朝" w:hAnsi="ＭＳ 明朝" w:eastAsia="ＭＳ 明朝"/>
          <w:color w:val="auto"/>
          <w:sz w:val="21"/>
        </w:rPr>
        <w:t>契約金額の１０分の１以上の金額とする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に規定する令和７・８年度大崎市物品調達等に係る競争入札参加業者登録簿に登録されている業者で，下記の要件を満たしていること。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　　部門：除草</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color w:val="auto"/>
                <w:sz w:val="21"/>
              </w:rPr>
              <w:t>市内に本社（店）の登録を有すること。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大崎市教育委員会</w:t>
            </w:r>
          </w:p>
          <w:p>
            <w:pPr>
              <w:pStyle w:val="0"/>
              <w:kinsoku w:val="0"/>
              <w:wordWrap w:val="0"/>
              <w:spacing w:line="358" w:lineRule="exact"/>
              <w:ind w:firstLine="1218" w:firstLineChars="600"/>
              <w:jc w:val="both"/>
              <w:rPr>
                <w:rFonts w:hint="default" w:ascii="ＭＳ 明朝" w:hAnsi="ＭＳ 明朝" w:eastAsia="ＭＳ 明朝"/>
                <w:sz w:val="21"/>
              </w:rPr>
            </w:pPr>
            <w:r>
              <w:rPr>
                <w:rFonts w:hint="eastAsia" w:ascii="ＭＳ 明朝" w:hAnsi="ＭＳ 明朝" w:eastAsia="ＭＳ 明朝"/>
                <w:color w:val="auto"/>
                <w:sz w:val="21"/>
              </w:rPr>
              <w:t>沼部公民館</w:t>
            </w:r>
          </w:p>
        </w:tc>
        <w:tc>
          <w:tcPr>
            <w:tcW w:w="1536" w:type="dxa"/>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0229-39</w:t>
            </w:r>
            <w:r>
              <w:rPr>
                <w:rFonts w:hint="eastAsia"/>
                <w:color w:val="000000" w:themeColor="text1"/>
                <w:sz w:val="21"/>
              </w:rPr>
              <w:t>-</w:t>
            </w:r>
            <w:r>
              <w:rPr>
                <w:rFonts w:hint="eastAsia" w:asciiTheme="minorEastAsia" w:hAnsiTheme="minorEastAsia" w:eastAsiaTheme="minorEastAsia"/>
                <w:color w:val="auto"/>
                <w:sz w:val="21"/>
              </w:rPr>
              <w:t>0213</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989-4308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大崎市田尻沼部字富岡１６６番地</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8</w:t>
            </w:r>
            <w:r>
              <w:rPr>
                <w:rFonts w:hint="eastAsia"/>
                <w:color w:val="auto"/>
                <w:sz w:val="21"/>
                <w:highlight w:val="none"/>
              </w:rPr>
              <w:t>年</w:t>
            </w:r>
            <w:r>
              <w:rPr>
                <w:rFonts w:hint="eastAsia"/>
                <w:color w:val="auto"/>
                <w:sz w:val="21"/>
                <w:highlight w:val="none"/>
              </w:rPr>
              <w:t xml:space="preserve"> 4</w:t>
            </w:r>
            <w:r>
              <w:rPr>
                <w:rFonts w:hint="eastAsia"/>
                <w:color w:val="auto"/>
                <w:sz w:val="21"/>
                <w:highlight w:val="none"/>
              </w:rPr>
              <w:t>月</w:t>
            </w:r>
            <w:r>
              <w:rPr>
                <w:rFonts w:hint="eastAsia"/>
                <w:color w:val="auto"/>
                <w:sz w:val="21"/>
                <w:highlight w:val="none"/>
              </w:rPr>
              <w:t xml:space="preserve"> 7</w:t>
            </w:r>
            <w:r>
              <w:rPr>
                <w:rFonts w:hint="eastAsia"/>
                <w:color w:val="auto"/>
                <w:sz w:val="21"/>
                <w:highlight w:val="none"/>
              </w:rPr>
              <w:t>日（火）</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8</w:t>
            </w:r>
            <w:r>
              <w:rPr>
                <w:rFonts w:hint="eastAsia"/>
                <w:color w:val="auto"/>
                <w:sz w:val="21"/>
              </w:rPr>
              <w:t>年</w:t>
            </w:r>
            <w:r>
              <w:rPr>
                <w:rFonts w:hint="eastAsia"/>
                <w:color w:val="auto"/>
                <w:sz w:val="21"/>
              </w:rPr>
              <w:t xml:space="preserve"> 4</w:t>
            </w:r>
            <w:r>
              <w:rPr>
                <w:rFonts w:hint="eastAsia"/>
                <w:color w:val="auto"/>
                <w:sz w:val="21"/>
              </w:rPr>
              <w:t>月</w:t>
            </w:r>
            <w:r>
              <w:rPr>
                <w:rFonts w:hint="eastAsia"/>
                <w:color w:val="auto"/>
                <w:sz w:val="21"/>
              </w:rPr>
              <w:t>20</w:t>
            </w:r>
            <w:r>
              <w:rPr>
                <w:rFonts w:hint="eastAsia"/>
                <w:color w:val="auto"/>
                <w:sz w:val="21"/>
              </w:rPr>
              <w:t>日（月）</w:t>
            </w:r>
            <w:r>
              <w:rPr>
                <w:rFonts w:hint="default"/>
                <w:color w:val="auto"/>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8</w:t>
            </w:r>
            <w:r>
              <w:rPr>
                <w:rFonts w:hint="eastAsia"/>
                <w:color w:val="auto"/>
                <w:sz w:val="21"/>
              </w:rPr>
              <w:t>年</w:t>
            </w:r>
            <w:r>
              <w:rPr>
                <w:rFonts w:hint="eastAsia"/>
                <w:color w:val="auto"/>
                <w:sz w:val="21"/>
              </w:rPr>
              <w:t xml:space="preserve"> 4</w:t>
            </w:r>
            <w:r>
              <w:rPr>
                <w:rFonts w:hint="eastAsia"/>
                <w:color w:val="auto"/>
                <w:sz w:val="21"/>
              </w:rPr>
              <w:t>月</w:t>
            </w:r>
            <w:r>
              <w:rPr>
                <w:rFonts w:hint="eastAsia"/>
                <w:color w:val="auto"/>
                <w:sz w:val="21"/>
              </w:rPr>
              <w:t xml:space="preserve"> 8</w:t>
            </w:r>
            <w:r>
              <w:rPr>
                <w:rFonts w:hint="eastAsia"/>
                <w:color w:val="auto"/>
                <w:sz w:val="21"/>
              </w:rPr>
              <w:t>日（水）</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8</w:t>
            </w:r>
            <w:r>
              <w:rPr>
                <w:rFonts w:hint="eastAsia"/>
                <w:color w:val="auto"/>
                <w:sz w:val="21"/>
              </w:rPr>
              <w:t>年</w:t>
            </w:r>
            <w:r>
              <w:rPr>
                <w:rFonts w:hint="eastAsia"/>
                <w:color w:val="auto"/>
                <w:sz w:val="21"/>
              </w:rPr>
              <w:t xml:space="preserve"> 4</w:t>
            </w:r>
            <w:r>
              <w:rPr>
                <w:rFonts w:hint="eastAsia"/>
                <w:color w:val="auto"/>
                <w:sz w:val="21"/>
              </w:rPr>
              <w:t>月</w:t>
            </w:r>
            <w:r>
              <w:rPr>
                <w:rFonts w:hint="eastAsia"/>
                <w:color w:val="auto"/>
                <w:sz w:val="21"/>
              </w:rPr>
              <w:t>13</w:t>
            </w:r>
            <w:r>
              <w:rPr>
                <w:rFonts w:hint="eastAsia"/>
                <w:color w:val="auto"/>
                <w:sz w:val="21"/>
              </w:rPr>
              <w:t>日（月）</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8</w:t>
            </w:r>
            <w:r>
              <w:rPr>
                <w:rFonts w:hint="eastAsia"/>
                <w:color w:val="auto"/>
                <w:sz w:val="21"/>
              </w:rPr>
              <w:t>年</w:t>
            </w:r>
            <w:r>
              <w:rPr>
                <w:rFonts w:hint="eastAsia"/>
                <w:color w:val="auto"/>
                <w:sz w:val="21"/>
              </w:rPr>
              <w:t xml:space="preserve"> 4</w:t>
            </w:r>
            <w:r>
              <w:rPr>
                <w:rFonts w:hint="eastAsia"/>
                <w:color w:val="auto"/>
                <w:sz w:val="21"/>
              </w:rPr>
              <w:t>月</w:t>
            </w:r>
            <w:r>
              <w:rPr>
                <w:rFonts w:hint="eastAsia"/>
                <w:color w:val="auto"/>
                <w:sz w:val="21"/>
              </w:rPr>
              <w:t>15</w:t>
            </w:r>
            <w:r>
              <w:rPr>
                <w:rFonts w:hint="eastAsia"/>
                <w:color w:val="auto"/>
                <w:sz w:val="21"/>
              </w:rPr>
              <w:t>日（水）</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4</w:t>
            </w:r>
            <w:r>
              <w:rPr>
                <w:rFonts w:hint="eastAsia"/>
                <w:color w:val="000000" w:themeColor="text1"/>
                <w:sz w:val="21"/>
              </w:rPr>
              <w:t>月</w:t>
            </w:r>
            <w:r>
              <w:rPr>
                <w:rFonts w:hint="eastAsia"/>
                <w:color w:val="000000" w:themeColor="text1"/>
                <w:sz w:val="21"/>
              </w:rPr>
              <w:t>20</w:t>
            </w:r>
            <w:r>
              <w:rPr>
                <w:rFonts w:hint="eastAsia"/>
                <w:color w:val="000000" w:themeColor="text1"/>
                <w:sz w:val="21"/>
              </w:rPr>
              <w:t>日（月）</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8</w:t>
            </w:r>
            <w:r>
              <w:rPr>
                <w:rFonts w:hint="eastAsia"/>
                <w:color w:val="auto"/>
                <w:sz w:val="21"/>
              </w:rPr>
              <w:t>年</w:t>
            </w:r>
            <w:r>
              <w:rPr>
                <w:rFonts w:hint="eastAsia"/>
                <w:color w:val="auto"/>
                <w:sz w:val="21"/>
              </w:rPr>
              <w:t xml:space="preserve"> 4</w:t>
            </w:r>
            <w:r>
              <w:rPr>
                <w:rFonts w:hint="eastAsia"/>
                <w:color w:val="auto"/>
                <w:sz w:val="21"/>
              </w:rPr>
              <w:t>月</w:t>
            </w:r>
            <w:r>
              <w:rPr>
                <w:rFonts w:hint="eastAsia"/>
                <w:color w:val="auto"/>
                <w:sz w:val="21"/>
              </w:rPr>
              <w:t>22</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582</TotalTime>
  <Pages>10</Pages>
  <Words>47</Words>
  <Characters>4919</Characters>
  <Application>JUST Note</Application>
  <Lines>379</Lines>
  <Paragraphs>235</Paragraphs>
  <Company>古川市</Company>
  <CharactersWithSpaces>5216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2026-04-01T06:58:39Z</cp:lastPrinted>
  <dcterms:created xsi:type="dcterms:W3CDTF">2021-12-23T04:16:00Z</dcterms:created>
  <dcterms:modified xsi:type="dcterms:W3CDTF">2026-04-01T07:01:07Z</dcterms:modified>
  <cp:revision>11</cp:revision>
</cp:coreProperties>
</file>