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大崎市教育委員会公告第９号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令和８年２月９日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2026000104</w:t>
      </w:r>
    </w:p>
    <w:p>
      <w:pPr>
        <w:pStyle w:val="0"/>
        <w:kinsoku w:val="0"/>
        <w:spacing w:line="358" w:lineRule="exact"/>
        <w:ind w:leftChars="0" w:firstLineChars="0"/>
        <w:jc w:val="both"/>
        <w:rPr>
          <w:rFonts w:hint="default" w:ascii="ＭＳ 明朝" w:hAnsi="ＭＳ 明朝" w:eastAsia="ＭＳ 明朝"/>
          <w:color w:val="000000" w:themeColor="text1"/>
          <w:sz w:val="21"/>
        </w:rPr>
      </w:pPr>
      <w:r>
        <w:rPr>
          <w:rFonts w:hint="eastAsia" w:ascii="ＭＳ 明朝" w:hAnsi="ＭＳ 明朝" w:eastAsia="ＭＳ 明朝"/>
          <w:sz w:val="21"/>
        </w:rPr>
        <w:t>（２）件　　名　ボイラー及び空調機</w:t>
      </w:r>
      <w:r>
        <w:rPr>
          <w:rFonts w:hint="eastAsia" w:ascii="ＭＳ 明朝" w:hAnsi="ＭＳ 明朝" w:eastAsia="ＭＳ 明朝"/>
          <w:color w:val="000000" w:themeColor="text1"/>
          <w:sz w:val="21"/>
        </w:rPr>
        <w:t>保守点検業務（田尻文化センター）</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（３）場　　所　大崎市田尻沼部字富岡１６６</w:t>
      </w:r>
      <w:r>
        <w:rPr>
          <w:rFonts w:hint="eastAsia"/>
          <w:color w:val="000000" w:themeColor="text1"/>
          <w:sz w:val="21"/>
        </w:rPr>
        <w:t>番地</w:t>
      </w:r>
    </w:p>
    <w:p>
      <w:pPr>
        <w:pStyle w:val="0"/>
        <w:kinsoku w:val="0"/>
        <w:spacing w:line="358" w:lineRule="exact"/>
        <w:jc w:val="both"/>
        <w:rPr>
          <w:rFonts w:hint="default" w:ascii="ＭＳ 明朝" w:hAnsi="ＭＳ 明朝" w:eastAsia="ＭＳ 明朝"/>
          <w:b w:val="0"/>
          <w:color w:val="000000" w:themeColor="text1"/>
          <w:sz w:val="21"/>
          <w:u w:val="none" w:color="auto"/>
        </w:rPr>
      </w:pPr>
      <w:r>
        <w:rPr>
          <w:rFonts w:hint="eastAsia" w:ascii="ＭＳ 明朝" w:hAnsi="ＭＳ 明朝" w:eastAsia="ＭＳ 明朝"/>
          <w:color w:val="000000" w:themeColor="text1"/>
          <w:sz w:val="21"/>
        </w:rPr>
        <w:t>（４）期　　間　令和８年４月１日から令和１１年３月３１日まで</w:t>
      </w:r>
    </w:p>
    <w:p>
      <w:pPr>
        <w:pStyle w:val="0"/>
        <w:kinsoku w:val="0"/>
        <w:spacing w:line="358" w:lineRule="exact"/>
        <w:ind w:firstLine="1827" w:firstLineChars="900"/>
        <w:jc w:val="both"/>
        <w:rPr>
          <w:rFonts w:hint="default" w:ascii="ＭＳ 明朝" w:hAnsi="ＭＳ 明朝" w:eastAsia="ＭＳ 明朝"/>
          <w:b w:val="0"/>
          <w:color w:val="FF0000"/>
          <w:sz w:val="21"/>
          <w:u w:val="none" w:color="auto"/>
        </w:rPr>
      </w:pPr>
      <w:r>
        <w:rPr>
          <w:rFonts w:hint="eastAsia" w:ascii="ＭＳ 明朝" w:hAnsi="ＭＳ 明朝" w:eastAsia="ＭＳ 明朝"/>
          <w:b w:val="0"/>
          <w:color w:val="auto"/>
          <w:sz w:val="21"/>
          <w:u w:val="none" w:color="auto"/>
        </w:rPr>
        <w:t>地方自治法第２３４条の３に基づく長期継続契約</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w:t>
      </w:r>
      <w:r>
        <w:rPr>
          <w:rFonts w:hint="eastAsia" w:ascii="ＭＳ 明朝" w:hAnsi="ＭＳ 明朝" w:eastAsia="ＭＳ 明朝"/>
          <w:color w:val="000000" w:themeColor="text1"/>
          <w:sz w:val="21"/>
        </w:rPr>
        <w:t>保守点検</w:t>
      </w:r>
      <w:r>
        <w:rPr>
          <w:rFonts w:hint="eastAsia" w:ascii="ＭＳ 明朝" w:hAnsi="ＭＳ 明朝" w:eastAsia="ＭＳ 明朝"/>
          <w:color w:val="auto"/>
          <w:sz w:val="21"/>
        </w:rPr>
        <w:t>業務内容</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000000" w:themeColor="text1"/>
          <w:sz w:val="21"/>
        </w:rPr>
      </w:pPr>
      <w:r>
        <w:rPr>
          <w:rFonts w:hint="eastAsia" w:ascii="ＭＳ 明朝" w:hAnsi="ＭＳ 明朝" w:eastAsia="ＭＳ 明朝"/>
          <w:color w:val="C00000"/>
          <w:sz w:val="21"/>
        </w:rPr>
        <w:t>　　　　</w:t>
      </w:r>
      <w:r>
        <w:rPr>
          <w:rFonts w:hint="eastAsia" w:ascii="ＭＳ 明朝" w:hAnsi="ＭＳ 明朝" w:eastAsia="ＭＳ 明朝"/>
          <w:color w:val="000000" w:themeColor="text1"/>
          <w:sz w:val="21"/>
        </w:rPr>
        <w:t>・ボイラー，冷却塔，パッケージ，ポンプ類，還風機，自動制御機点検…各年２回</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ind w:left="2300" w:hanging="2300" w:hangingChars="1000"/>
        <w:jc w:val="both"/>
        <w:rPr>
          <w:rFonts w:hint="default" w:ascii="ＭＳ 明朝" w:hAnsi="ＭＳ 明朝" w:eastAsia="ＭＳ 明朝"/>
          <w:color w:val="auto"/>
          <w:sz w:val="21"/>
        </w:rPr>
      </w:pPr>
      <w:r>
        <w:rPr>
          <w:rFonts w:hint="eastAsia" w:ascii="ＭＳ 明朝" w:hAnsi="ＭＳ 明朝" w:eastAsia="ＭＳ 明朝"/>
          <w:color w:val="auto"/>
          <w:sz w:val="21"/>
        </w:rPr>
        <w:t>（７）</w:t>
      </w:r>
      <w:r>
        <w:rPr>
          <w:rFonts w:hint="eastAsia" w:ascii="ＭＳ 明朝" w:hAnsi="ＭＳ 明朝" w:eastAsia="ＭＳ 明朝"/>
          <w:color w:val="auto"/>
          <w:sz w:val="21"/>
          <w:u w:val="thick" w:color="auto"/>
        </w:rPr>
        <w:t>最低制限価格　設定有り（大崎市入札契約事務取扱要綱第１５条を必読のこと）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（８）入札方法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w:t>
      </w:r>
      <w:r>
        <w:rPr>
          <w:rFonts w:hint="eastAsia"/>
          <w:color w:val="auto"/>
        </w:rPr>
        <w:t>する令和７・８年度大崎市物品調達等に係る競争入札参加業者登録簿に登録されている業者で，下記の要件</w:t>
      </w:r>
      <w:r>
        <w:rPr>
          <w:rFonts w:hint="eastAsia"/>
        </w:rPr>
        <w:t>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color w:val="000000" w:themeColor="text1"/>
              </w:rPr>
            </w:pPr>
            <w:r>
              <w:rPr>
                <w:rFonts w:hint="eastAsia"/>
                <w:color w:val="000000" w:themeColor="text1"/>
              </w:rPr>
              <w:t>業種：施設等の保守管理　　部門：ボイラ―及び空調設備</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1"/>
              </w:rPr>
              <w:t>市内に本社（店）又は受任機関の登録を有すること。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hanging="203" w:hangingChars="100"/>
              <w:jc w:val="both"/>
              <w:rPr>
                <w:rFonts w:hint="default"/>
              </w:rPr>
            </w:pPr>
            <w:r>
              <w:rPr>
                <w:rFonts w:hint="eastAsia"/>
              </w:rPr>
              <w:t>①別紙条件付き一般競争入札（事後審査型）公告共通事項に示すとおりとする。</w:t>
            </w:r>
          </w:p>
          <w:p>
            <w:pPr>
              <w:pStyle w:val="0"/>
              <w:kinsoku w:val="0"/>
              <w:spacing w:line="358" w:lineRule="exact"/>
              <w:ind w:left="0" w:leftChars="0" w:hanging="203" w:hangingChars="100"/>
              <w:rPr>
                <w:rFonts w:hint="default"/>
              </w:rPr>
            </w:pPr>
            <w:r>
              <w:rPr>
                <w:rFonts w:hint="eastAsia" w:ascii="ＭＳ 明朝" w:hAnsi="ＭＳ 明朝" w:eastAsia="ＭＳ 明朝"/>
                <w:color w:val="000000" w:themeColor="text1"/>
                <w:sz w:val="21"/>
              </w:rPr>
              <w:t>②本公告は，令和８年度予算の成立を前提とした契約準備行為であるため，令和８年度予算が成立しない場合，当該入札に係る契約手続きも成立しない。</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大崎市教育委員会</w:t>
            </w:r>
          </w:p>
          <w:p>
            <w:pPr>
              <w:pStyle w:val="0"/>
              <w:kinsoku w:val="0"/>
              <w:wordWrap w:val="0"/>
              <w:spacing w:line="358" w:lineRule="exact"/>
              <w:ind w:firstLine="1218" w:firstLineChars="60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沼部公民館</w:t>
            </w:r>
          </w:p>
        </w:tc>
        <w:tc>
          <w:tcPr>
            <w:tcW w:w="1536" w:type="dxa"/>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0229-39</w:t>
            </w:r>
            <w:r>
              <w:rPr>
                <w:rFonts w:hint="eastAsia"/>
                <w:color w:val="000000" w:themeColor="text1"/>
                <w:sz w:val="21"/>
              </w:rPr>
              <w:t>-</w:t>
            </w:r>
            <w:r>
              <w:rPr>
                <w:rFonts w:hint="eastAsia" w:asciiTheme="minorEastAsia" w:hAnsiTheme="minorEastAsia" w:eastAsiaTheme="minorEastAsia"/>
                <w:color w:val="000000" w:themeColor="text1"/>
                <w:sz w:val="21"/>
              </w:rPr>
              <w:t>0213</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989-4308</w:t>
            </w:r>
            <w:bookmarkStart w:id="0" w:name="_GoBack"/>
            <w:bookmarkEnd w:id="0"/>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大崎市田尻沼部字富岡１６６番地</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2</w:t>
            </w:r>
            <w:r>
              <w:rPr>
                <w:rFonts w:hint="eastAsia"/>
                <w:color w:val="000000" w:themeColor="text1"/>
                <w:sz w:val="21"/>
                <w:highlight w:val="none"/>
              </w:rPr>
              <w:t>月</w:t>
            </w:r>
            <w:r>
              <w:rPr>
                <w:rFonts w:hint="eastAsia"/>
                <w:color w:val="000000" w:themeColor="text1"/>
                <w:sz w:val="21"/>
                <w:highlight w:val="none"/>
              </w:rPr>
              <w:t xml:space="preserve"> 9</w:t>
            </w:r>
            <w:r>
              <w:rPr>
                <w:rFonts w:hint="eastAsia"/>
                <w:color w:val="000000" w:themeColor="text1"/>
                <w:sz w:val="21"/>
                <w:highlight w:val="none"/>
              </w:rPr>
              <w:t>日（月）</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10</w:t>
            </w:r>
            <w:r>
              <w:rPr>
                <w:rFonts w:hint="eastAsia"/>
                <w:color w:val="000000" w:themeColor="text1"/>
                <w:sz w:val="21"/>
              </w:rPr>
              <w:t>日（火）</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19</w:t>
            </w:r>
            <w:r>
              <w:rPr>
                <w:rFonts w:hint="eastAsia"/>
                <w:color w:val="000000" w:themeColor="text1"/>
                <w:sz w:val="21"/>
              </w:rPr>
              <w:t>日（木）</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3</w:t>
            </w:r>
            <w:r>
              <w:rPr>
                <w:rFonts w:hint="eastAsia"/>
                <w:color w:val="000000" w:themeColor="text1"/>
                <w:sz w:val="21"/>
              </w:rPr>
              <w:t>月</w:t>
            </w:r>
            <w:r>
              <w:rPr>
                <w:rFonts w:hint="eastAsia"/>
                <w:color w:val="000000" w:themeColor="text1"/>
                <w:sz w:val="21"/>
              </w:rPr>
              <w:t xml:space="preserve"> 3</w:t>
            </w:r>
            <w:r>
              <w:rPr>
                <w:rFonts w:hint="eastAsia"/>
                <w:color w:val="000000" w:themeColor="text1"/>
                <w:sz w:val="21"/>
              </w:rPr>
              <w:t>日（火）</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30</w:t>
            </w:r>
            <w:r>
              <w:rPr>
                <w:rFonts w:hint="eastAsia"/>
                <w:color w:val="000000" w:themeColor="text1"/>
                <w:sz w:val="21"/>
              </w:rPr>
              <w:t>分</w:t>
            </w:r>
            <w:r>
              <w:rPr>
                <w:rFonts w:hint="default"/>
                <w:color w:val="000000" w:themeColor="text1"/>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left="0" w:leftChars="0" w:firstLine="406" w:firstLineChars="200"/>
        <w:rPr>
          <w:rFonts w:hint="default" w:ascii="ＭＳ 明朝" w:hAnsi="ＭＳ 明朝" w:eastAsia="ＭＳ 明朝"/>
          <w:sz w:val="21"/>
        </w:rPr>
      </w:pP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初度の入札を代理人で行った場合は無効とする。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601</TotalTime>
  <Pages>10</Pages>
  <Words>47</Words>
  <Characters>5024</Characters>
  <Application>JUST Note</Application>
  <Lines>382</Lines>
  <Paragraphs>236</Paragraphs>
  <Company>古川市</Company>
  <CharactersWithSpaces>5334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2026-01-23T07:31:14Z</dcterms:modified>
  <cp:revision>12</cp:revision>
</cp:coreProperties>
</file>