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rPr>
        <w:t>第</w:t>
      </w:r>
      <w:r>
        <w:rPr>
          <w:rFonts w:hint="eastAsia"/>
          <w:sz w:val="22"/>
          <w:highlight w:val="none"/>
        </w:rPr>
        <w:t>２５５号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2025000700</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鬼首地区公民館及びオニコウベリフレッシュセンター屋根塗装改修工事</w:t>
      </w:r>
    </w:p>
    <w:p>
      <w:pPr>
        <w:pStyle w:val="0"/>
        <w:rPr>
          <w:rFonts w:hint="default"/>
          <w:sz w:val="22"/>
        </w:rPr>
      </w:pPr>
      <w:r>
        <w:rPr>
          <w:rFonts w:hint="eastAsia"/>
          <w:sz w:val="22"/>
        </w:rPr>
        <w:t>（３）工事場所　大崎市鳴子温泉鬼首字原４３番地１</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11</w:t>
      </w:r>
      <w:r>
        <w:rPr>
          <w:rFonts w:hint="eastAsia"/>
          <w:sz w:val="22"/>
        </w:rPr>
        <w:t>月</w:t>
      </w:r>
      <w:r>
        <w:rPr>
          <w:rFonts w:hint="eastAsia"/>
          <w:sz w:val="22"/>
        </w:rPr>
        <w:t>30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〇鬼首地区公民館</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・塗装工事　</w:t>
      </w:r>
      <w:r>
        <w:rPr>
          <w:rFonts w:hint="eastAsia"/>
          <w:sz w:val="22"/>
        </w:rPr>
        <w:t>790.8</w:t>
      </w:r>
      <w:r>
        <w:rPr>
          <w:rFonts w:hint="eastAsia"/>
          <w:sz w:val="22"/>
        </w:rPr>
        <w:t>㎡</w:t>
      </w:r>
      <w:r>
        <w:rPr>
          <w:rFonts w:hint="eastAsia"/>
          <w:sz w:val="22"/>
        </w:rPr>
        <w:t xml:space="preserve"> (</w:t>
      </w:r>
      <w:r>
        <w:rPr>
          <w:rFonts w:hint="eastAsia"/>
          <w:sz w:val="22"/>
        </w:rPr>
        <w:t>下地調整，高圧洗浄，錆止め塗装，シリコン塗装</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・仮設工事　</w:t>
      </w:r>
      <w:r>
        <w:rPr>
          <w:rFonts w:hint="eastAsia"/>
          <w:sz w:val="22"/>
        </w:rPr>
        <w:t>975.0</w:t>
      </w:r>
      <w:r>
        <w:rPr>
          <w:rFonts w:hint="eastAsia"/>
          <w:sz w:val="22"/>
        </w:rPr>
        <w:t>架㎡</w:t>
      </w:r>
      <w:r>
        <w:rPr>
          <w:rFonts w:hint="eastAsia"/>
          <w:sz w:val="22"/>
        </w:rPr>
        <w:t xml:space="preserve"> (</w:t>
      </w:r>
      <w:r>
        <w:rPr>
          <w:rFonts w:hint="eastAsia"/>
          <w:sz w:val="22"/>
        </w:rPr>
        <w:t>枠組本足場　ほか</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〇オニコウベリフレッシュセンター</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・塗装工事　</w:t>
      </w:r>
      <w:r>
        <w:rPr>
          <w:rFonts w:hint="eastAsia"/>
          <w:sz w:val="22"/>
        </w:rPr>
        <w:t>1,248.7</w:t>
      </w:r>
      <w:r>
        <w:rPr>
          <w:rFonts w:hint="eastAsia"/>
          <w:sz w:val="22"/>
        </w:rPr>
        <w:t>㎡</w:t>
      </w:r>
      <w:r>
        <w:rPr>
          <w:rFonts w:hint="eastAsia"/>
          <w:sz w:val="22"/>
        </w:rPr>
        <w:t xml:space="preserve"> (</w:t>
      </w:r>
      <w:r>
        <w:rPr>
          <w:rFonts w:hint="eastAsia"/>
          <w:sz w:val="22"/>
        </w:rPr>
        <w:t>下地調整，高圧洗浄，錆止め塗装，シリコン塗装</w:t>
      </w:r>
      <w:r>
        <w:rPr>
          <w:rFonts w:hint="eastAsia"/>
          <w:sz w:val="22"/>
        </w:rPr>
        <w:t>)</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・仮設工事　</w:t>
      </w:r>
      <w:r>
        <w:rPr>
          <w:rFonts w:hint="eastAsia"/>
          <w:sz w:val="22"/>
        </w:rPr>
        <w:t>1,483.0</w:t>
      </w:r>
      <w:r>
        <w:rPr>
          <w:rFonts w:hint="eastAsia"/>
          <w:sz w:val="22"/>
        </w:rPr>
        <w:t>袈㎡</w:t>
      </w:r>
      <w:r>
        <w:rPr>
          <w:rFonts w:hint="eastAsia"/>
          <w:sz w:val="22"/>
        </w:rPr>
        <w:t xml:space="preserve"> (</w:t>
      </w:r>
      <w:r>
        <w:rPr>
          <w:rFonts w:hint="eastAsia"/>
          <w:sz w:val="22"/>
        </w:rPr>
        <w:t>枠組本足場　ほか</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塗装工事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市内に本社（店）又は受任機関の登録を有すること。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大崎市教育部鳴子公民館</w:t>
            </w:r>
          </w:p>
        </w:tc>
        <w:tc>
          <w:tcPr>
            <w:tcW w:w="1701" w:type="dxa"/>
            <w:vAlign w:val="center"/>
          </w:tcPr>
          <w:p>
            <w:pPr>
              <w:pStyle w:val="0"/>
              <w:rPr>
                <w:rFonts w:hint="default"/>
                <w:color w:val="FF0000"/>
                <w:sz w:val="22"/>
                <w:highlight w:val="none"/>
              </w:rPr>
            </w:pPr>
            <w:r>
              <w:rPr>
                <w:rFonts w:hint="eastAsia"/>
                <w:sz w:val="22"/>
                <w:highlight w:val="none"/>
              </w:rPr>
              <w:t>0229-82</w:t>
            </w:r>
            <w:r>
              <w:rPr>
                <w:rFonts w:hint="default"/>
                <w:sz w:val="22"/>
                <w:highlight w:val="none"/>
              </w:rPr>
              <w:t>-</w:t>
            </w:r>
            <w:r>
              <w:rPr>
                <w:rFonts w:hint="eastAsia"/>
                <w:sz w:val="22"/>
                <w:highlight w:val="none"/>
              </w:rPr>
              <w:t>2101</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989-6892</w:t>
            </w:r>
          </w:p>
          <w:p>
            <w:pPr>
              <w:pStyle w:val="0"/>
              <w:rPr>
                <w:rFonts w:hint="default"/>
                <w:sz w:val="22"/>
                <w:highlight w:val="none"/>
              </w:rPr>
            </w:pPr>
            <w:r>
              <w:rPr>
                <w:rFonts w:hint="eastAsia"/>
                <w:sz w:val="22"/>
                <w:highlight w:val="none"/>
              </w:rPr>
              <w:t>大崎市鳴子温泉字鷲ノ巣８６番地１</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20</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13</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17</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23</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bookmarkStart w:id="0" w:name="_GoBack"/>
            <w:bookmarkEnd w:id="0"/>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1388</TotalTime>
  <Pages>11</Pages>
  <Words>67</Words>
  <Characters>5924</Characters>
  <Application>JUST Note</Application>
  <Lines>7473</Lines>
  <Paragraphs>333</Paragraphs>
  <Company>古川市</Company>
  <CharactersWithSpaces>6288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2025-05-23T04:17:59Z</cp:lastPrinted>
  <dcterms:created xsi:type="dcterms:W3CDTF">2022-07-05T05:23:00Z</dcterms:created>
  <dcterms:modified xsi:type="dcterms:W3CDTF">2025-05-22T06:54:26Z</dcterms:modified>
  <cp:revision>64</cp:revision>
</cp:coreProperties>
</file>