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2025000561</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オニコウベスキー場電気設備改修工事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2025000561</w:t>
      </w:r>
      <w:r>
        <w:rPr>
          <w:rFonts w:hint="eastAsia" w:asciiTheme="minorEastAsia" w:hAnsiTheme="minorEastAsia" w:eastAsiaTheme="minorEastAsia"/>
          <w:b w:val="1"/>
          <w:color w:val="000000" w:themeColor="text1"/>
          <w:sz w:val="24"/>
        </w:rPr>
        <w:t>　オニコウベスキー場電気設備改修工事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次の要件を全て満たす電気設備工事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highlight w:val="none"/>
                              </w:rPr>
                            </w:pPr>
                            <w:r>
                              <w:rPr>
                                <w:rFonts w:hint="eastAsia"/>
                                <w:sz w:val="24"/>
                                <w:highlight w:val="none"/>
                              </w:rPr>
                              <w:t>③</w:t>
                            </w:r>
                            <w:r>
                              <w:rPr>
                                <w:rFonts w:hint="eastAsia" w:ascii="ＭＳ 明朝" w:hAnsi="ＭＳ 明朝" w:eastAsia="ＭＳ 明朝"/>
                                <w:color w:val="000000" w:themeColor="text1"/>
                                <w:sz w:val="24"/>
                              </w:rPr>
                              <w:t>学校</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学校教育法第一条による学校</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共同住宅の電気設備</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新築，増築，改築，改修</w:t>
                            </w:r>
                            <w:r>
                              <w:rPr>
                                <w:rFonts w:hint="eastAsia" w:ascii="ＭＳ 明朝" w:hAnsi="ＭＳ 明朝" w:eastAsia="ＭＳ 明朝"/>
                                <w:color w:val="000000" w:themeColor="text1"/>
                                <w:sz w:val="24"/>
                              </w:rPr>
                              <w:t>)</w:t>
                            </w:r>
                          </w:p>
                          <w:p>
                            <w:pPr>
                              <w:pStyle w:val="0"/>
                              <w:ind w:firstLine="244" w:firstLineChars="100"/>
                              <w:rPr>
                                <w:rFonts w:hint="eastAsia" w:ascii="ＭＳ 明朝" w:hAnsi="ＭＳ 明朝" w:eastAsia="ＭＳ 明朝"/>
                                <w:strike w:val="1"/>
                                <w:color w:val="auto"/>
                                <w:highlight w:val="none"/>
                              </w:rPr>
                            </w:pPr>
                            <w:r>
                              <w:rPr>
                                <w:rFonts w:hint="eastAsia" w:ascii="ＭＳ 明朝" w:hAnsi="ＭＳ 明朝" w:eastAsia="ＭＳ 明朝"/>
                                <w:color w:val="000000" w:themeColor="text1"/>
                                <w:sz w:val="24"/>
                              </w:rPr>
                              <w:t>工事。</w:t>
                            </w:r>
                          </w:p>
                          <w:p>
                            <w:pPr>
                              <w:pStyle w:val="0"/>
                              <w:ind w:leftChars="0" w:firstLine="0" w:firstLineChars="0"/>
                              <w:rPr>
                                <w:rFonts w:hint="default"/>
                                <w:sz w:val="24"/>
                                <w:highlight w:val="yellow"/>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次の要件を全て満たす電気設備工事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highlight w:val="none"/>
                        </w:rPr>
                      </w:pPr>
                      <w:r>
                        <w:rPr>
                          <w:rFonts w:hint="eastAsia"/>
                          <w:sz w:val="24"/>
                          <w:highlight w:val="none"/>
                        </w:rPr>
                        <w:t>③</w:t>
                      </w:r>
                      <w:r>
                        <w:rPr>
                          <w:rFonts w:hint="eastAsia" w:ascii="ＭＳ 明朝" w:hAnsi="ＭＳ 明朝" w:eastAsia="ＭＳ 明朝"/>
                          <w:color w:val="000000" w:themeColor="text1"/>
                          <w:sz w:val="24"/>
                        </w:rPr>
                        <w:t>学校</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学校教育法第一条による学校</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共同住宅の電気設備</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新築，増築，改築，改修</w:t>
                      </w:r>
                      <w:r>
                        <w:rPr>
                          <w:rFonts w:hint="eastAsia" w:ascii="ＭＳ 明朝" w:hAnsi="ＭＳ 明朝" w:eastAsia="ＭＳ 明朝"/>
                          <w:color w:val="000000" w:themeColor="text1"/>
                          <w:sz w:val="24"/>
                        </w:rPr>
                        <w:t>)</w:t>
                      </w:r>
                    </w:p>
                    <w:p>
                      <w:pPr>
                        <w:pStyle w:val="0"/>
                        <w:ind w:firstLine="244" w:firstLineChars="100"/>
                        <w:rPr>
                          <w:rFonts w:hint="eastAsia" w:ascii="ＭＳ 明朝" w:hAnsi="ＭＳ 明朝" w:eastAsia="ＭＳ 明朝"/>
                          <w:strike w:val="1"/>
                          <w:color w:val="auto"/>
                          <w:highlight w:val="none"/>
                        </w:rPr>
                      </w:pPr>
                      <w:r>
                        <w:rPr>
                          <w:rFonts w:hint="eastAsia" w:ascii="ＭＳ 明朝" w:hAnsi="ＭＳ 明朝" w:eastAsia="ＭＳ 明朝"/>
                          <w:color w:val="000000" w:themeColor="text1"/>
                          <w:sz w:val="24"/>
                        </w:rPr>
                        <w:t>工事。</w:t>
                      </w:r>
                    </w:p>
                    <w:p>
                      <w:pPr>
                        <w:pStyle w:val="0"/>
                        <w:ind w:leftChars="0" w:firstLine="0" w:firstLineChars="0"/>
                        <w:rPr>
                          <w:rFonts w:hint="default"/>
                          <w:sz w:val="24"/>
                          <w:highlight w:val="yellow"/>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2025000561</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オニコウベスキー場電気設備改修工事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次の要件を全て満たす電気設備工事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color w:val="000000" w:themeColor="text1"/>
                                <w:sz w:val="24"/>
                              </w:rPr>
                              <w:t>学校</w:t>
                            </w:r>
                            <w:r>
                              <w:rPr>
                                <w:rFonts w:hint="eastAsia"/>
                                <w:color w:val="000000" w:themeColor="text1"/>
                                <w:sz w:val="24"/>
                              </w:rPr>
                              <w:t>(</w:t>
                            </w:r>
                            <w:r>
                              <w:rPr>
                                <w:rFonts w:hint="eastAsia"/>
                                <w:color w:val="000000" w:themeColor="text1"/>
                                <w:sz w:val="24"/>
                              </w:rPr>
                              <w:t>学校教育法第一条による学校</w:t>
                            </w:r>
                            <w:r>
                              <w:rPr>
                                <w:rFonts w:hint="eastAsia"/>
                                <w:color w:val="000000" w:themeColor="text1"/>
                                <w:sz w:val="24"/>
                              </w:rPr>
                              <w:t>)</w:t>
                            </w:r>
                            <w:r>
                              <w:rPr>
                                <w:rFonts w:hint="eastAsia"/>
                                <w:color w:val="000000" w:themeColor="text1"/>
                                <w:sz w:val="24"/>
                              </w:rPr>
                              <w:t>共同住宅の電気設備</w:t>
                            </w:r>
                            <w:r>
                              <w:rPr>
                                <w:rFonts w:hint="eastAsia"/>
                                <w:color w:val="000000" w:themeColor="text1"/>
                                <w:sz w:val="24"/>
                              </w:rPr>
                              <w:t>(</w:t>
                            </w:r>
                            <w:r>
                              <w:rPr>
                                <w:rFonts w:hint="eastAsia"/>
                                <w:color w:val="000000" w:themeColor="text1"/>
                                <w:sz w:val="24"/>
                              </w:rPr>
                              <w:t>新築，増築，改築，改修</w:t>
                            </w:r>
                            <w:r>
                              <w:rPr>
                                <w:rFonts w:hint="eastAsia"/>
                                <w:color w:val="000000" w:themeColor="text1"/>
                                <w:sz w:val="24"/>
                              </w:rPr>
                              <w:t>)</w:t>
                            </w:r>
                          </w:p>
                          <w:p>
                            <w:pPr>
                              <w:pStyle w:val="0"/>
                              <w:ind w:firstLine="244" w:firstLineChars="100"/>
                              <w:rPr>
                                <w:rFonts w:hint="default"/>
                                <w:strike w:val="1"/>
                                <w:color w:val="auto"/>
                                <w:highlight w:val="none"/>
                              </w:rPr>
                            </w:pPr>
                            <w:r>
                              <w:rPr>
                                <w:rFonts w:hint="eastAsia"/>
                                <w:color w:val="000000" w:themeColor="text1"/>
                                <w:sz w:val="24"/>
                              </w:rPr>
                              <w:t>工事。</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次の要件を全て満たす電気設備工事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color w:val="000000" w:themeColor="text1"/>
                          <w:sz w:val="24"/>
                        </w:rPr>
                        <w:t>学校</w:t>
                      </w:r>
                      <w:r>
                        <w:rPr>
                          <w:rFonts w:hint="eastAsia"/>
                          <w:color w:val="000000" w:themeColor="text1"/>
                          <w:sz w:val="24"/>
                        </w:rPr>
                        <w:t>(</w:t>
                      </w:r>
                      <w:r>
                        <w:rPr>
                          <w:rFonts w:hint="eastAsia"/>
                          <w:color w:val="000000" w:themeColor="text1"/>
                          <w:sz w:val="24"/>
                        </w:rPr>
                        <w:t>学校教育法第一条による学校</w:t>
                      </w:r>
                      <w:r>
                        <w:rPr>
                          <w:rFonts w:hint="eastAsia"/>
                          <w:color w:val="000000" w:themeColor="text1"/>
                          <w:sz w:val="24"/>
                        </w:rPr>
                        <w:t>)</w:t>
                      </w:r>
                      <w:r>
                        <w:rPr>
                          <w:rFonts w:hint="eastAsia"/>
                          <w:color w:val="000000" w:themeColor="text1"/>
                          <w:sz w:val="24"/>
                        </w:rPr>
                        <w:t>共同住宅の電気設備</w:t>
                      </w:r>
                      <w:r>
                        <w:rPr>
                          <w:rFonts w:hint="eastAsia"/>
                          <w:color w:val="000000" w:themeColor="text1"/>
                          <w:sz w:val="24"/>
                        </w:rPr>
                        <w:t>(</w:t>
                      </w:r>
                      <w:r>
                        <w:rPr>
                          <w:rFonts w:hint="eastAsia"/>
                          <w:color w:val="000000" w:themeColor="text1"/>
                          <w:sz w:val="24"/>
                        </w:rPr>
                        <w:t>新築，増築，改築，改修</w:t>
                      </w:r>
                      <w:r>
                        <w:rPr>
                          <w:rFonts w:hint="eastAsia"/>
                          <w:color w:val="000000" w:themeColor="text1"/>
                          <w:sz w:val="24"/>
                        </w:rPr>
                        <w:t>)</w:t>
                      </w:r>
                    </w:p>
                    <w:p>
                      <w:pPr>
                        <w:pStyle w:val="0"/>
                        <w:ind w:firstLine="244" w:firstLineChars="100"/>
                        <w:rPr>
                          <w:rFonts w:hint="default"/>
                          <w:strike w:val="1"/>
                          <w:color w:val="auto"/>
                          <w:highlight w:val="none"/>
                        </w:rPr>
                      </w:pPr>
                      <w:r>
                        <w:rPr>
                          <w:rFonts w:hint="eastAsia"/>
                          <w:color w:val="000000" w:themeColor="text1"/>
                          <w:sz w:val="24"/>
                        </w:rPr>
                        <w:t>工事。</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2025000561</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オニコウベスキー場電気設備改修工事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2025000561</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オニコウベスキー場電気設備改修工事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2025000561</w:t>
      </w:r>
      <w:r>
        <w:rPr>
          <w:rFonts w:hint="eastAsia" w:ascii="ＭＳ 明朝" w:hAnsi="ＭＳ 明朝"/>
          <w:b w:val="1"/>
          <w:sz w:val="22"/>
          <w:u w:val="single" w:color="auto"/>
        </w:rPr>
        <w:t>　オニコウベスキー場電気設備改修工事</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1,000kVA</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500kVA</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1</w:t>
            </w:r>
            <w:r>
              <w:rPr>
                <w:rFonts w:hint="eastAsia" w:ascii="ＭＳ 明朝" w:hAnsi="ＭＳ 明朝"/>
                <w:sz w:val="20"/>
              </w:rPr>
              <w:t>Φ</w:t>
            </w:r>
            <w:r>
              <w:rPr>
                <w:rFonts w:hint="eastAsia" w:ascii="ＭＳ 明朝" w:hAnsi="ＭＳ 明朝"/>
                <w:sz w:val="20"/>
              </w:rPr>
              <w:t xml:space="preserve"> 10kVA</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300kVA</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1</w:t>
            </w:r>
            <w:r>
              <w:rPr>
                <w:rFonts w:hint="eastAsia" w:ascii="ＭＳ 明朝" w:hAnsi="ＭＳ 明朝"/>
                <w:sz w:val="20"/>
              </w:rPr>
              <w:t>Φ</w:t>
            </w:r>
            <w:r>
              <w:rPr>
                <w:rFonts w:hint="eastAsia" w:ascii="ＭＳ 明朝" w:hAnsi="ＭＳ 明朝"/>
                <w:sz w:val="20"/>
              </w:rPr>
              <w:t xml:space="preserve"> 50kVA</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sz w:val="20"/>
              </w:rPr>
              <w:t>変圧器</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150kVA</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台</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2025000561</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オニコウベスキー場電気設備改修工事</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変圧器</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1,000kVA</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500kVA</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1</w:t>
            </w:r>
            <w:r>
              <w:rPr>
                <w:rFonts w:hint="eastAsia" w:ascii="ＭＳ 明朝" w:hAnsi="ＭＳ 明朝"/>
                <w:sz w:val="20"/>
              </w:rPr>
              <w:t>Φ</w:t>
            </w:r>
            <w:r>
              <w:rPr>
                <w:rFonts w:hint="eastAsia" w:ascii="ＭＳ 明朝" w:hAnsi="ＭＳ 明朝"/>
                <w:sz w:val="20"/>
              </w:rPr>
              <w:t xml:space="preserve"> 10kVA</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300kVA</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変圧器</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油入</w:t>
            </w:r>
            <w:r>
              <w:rPr>
                <w:rFonts w:hint="eastAsia" w:ascii="ＭＳ 明朝" w:hAnsi="ＭＳ 明朝"/>
                <w:sz w:val="20"/>
              </w:rPr>
              <w:t xml:space="preserve"> 6.6Kv 1</w:t>
            </w:r>
            <w:r>
              <w:rPr>
                <w:rFonts w:hint="eastAsia" w:ascii="ＭＳ 明朝" w:hAnsi="ＭＳ 明朝"/>
                <w:sz w:val="20"/>
              </w:rPr>
              <w:t>Φ</w:t>
            </w:r>
            <w:r>
              <w:rPr>
                <w:rFonts w:hint="eastAsia" w:ascii="ＭＳ 明朝" w:hAnsi="ＭＳ 明朝"/>
                <w:sz w:val="20"/>
              </w:rPr>
              <w:t xml:space="preserve"> 50kVA</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sz w:val="20"/>
              </w:rPr>
              <w:t>変圧器</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sz w:val="20"/>
              </w:rPr>
              <w:t>油入</w:t>
            </w:r>
            <w:r>
              <w:rPr>
                <w:rFonts w:hint="eastAsia" w:ascii="ＭＳ 明朝" w:hAnsi="ＭＳ 明朝"/>
                <w:sz w:val="20"/>
              </w:rPr>
              <w:t xml:space="preserve"> 6.6Kv 3</w:t>
            </w:r>
            <w:r>
              <w:rPr>
                <w:rFonts w:hint="eastAsia" w:ascii="ＭＳ 明朝" w:hAnsi="ＭＳ 明朝"/>
                <w:sz w:val="20"/>
              </w:rPr>
              <w:t>Φ</w:t>
            </w:r>
            <w:r>
              <w:rPr>
                <w:rFonts w:hint="eastAsia" w:ascii="ＭＳ 明朝" w:hAnsi="ＭＳ 明朝"/>
                <w:sz w:val="20"/>
              </w:rPr>
              <w:t xml:space="preserve"> 150kVA</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台</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1614</TotalTime>
  <Pages>24</Pages>
  <Words>138</Words>
  <Characters>11457</Characters>
  <Application>JUST Note</Application>
  <Lines>144438</Lines>
  <Paragraphs>830</Paragraphs>
  <CharactersWithSpaces>12969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2025-04-30T01:12:28Z</cp:lastPrinted>
  <dcterms:created xsi:type="dcterms:W3CDTF">2020-07-30T08:02:00Z</dcterms:created>
  <dcterms:modified xsi:type="dcterms:W3CDTF">2025-05-02T02:07:06Z</dcterms:modified>
  <cp:revision>111</cp:revision>
</cp:coreProperties>
</file>