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3828"/>
          <w:tab w:val="left" w:leader="none" w:pos="6521"/>
        </w:tabs>
        <w:kinsoku w:val="0"/>
        <w:wordWrap w:val="0"/>
        <w:rPr>
          <w:rFonts w:hint="default"/>
          <w:sz w:val="22"/>
        </w:rPr>
      </w:pPr>
    </w:p>
    <w:p>
      <w:pPr>
        <w:pStyle w:val="0"/>
        <w:tabs>
          <w:tab w:val="left" w:leader="none" w:pos="3828"/>
          <w:tab w:val="left" w:leader="none" w:pos="6521"/>
        </w:tabs>
        <w:kinsoku w:val="0"/>
        <w:wordWrap w:val="0"/>
        <w:rPr>
          <w:rFonts w:hint="default"/>
          <w:sz w:val="22"/>
          <w:highlight w:val="none"/>
        </w:rPr>
      </w:pPr>
      <w:r>
        <w:rPr>
          <w:rFonts w:hint="eastAsia" w:ascii="ＭＳ 明朝" w:hAnsi="ＭＳ 明朝" w:eastAsia="ＭＳ 明朝"/>
          <w:sz w:val="22"/>
        </w:rPr>
        <w:t>大崎市公告</w:t>
      </w:r>
      <w:r>
        <w:rPr>
          <w:rFonts w:hint="eastAsia"/>
          <w:sz w:val="22"/>
          <w:highlight w:val="none"/>
        </w:rPr>
        <w:t>第３６７号</w:t>
      </w:r>
    </w:p>
    <w:p>
      <w:pPr>
        <w:pStyle w:val="0"/>
        <w:kinsoku w:val="0"/>
        <w:spacing w:line="358" w:lineRule="exact"/>
        <w:jc w:val="center"/>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入　札　公　告</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　</w:t>
      </w:r>
      <w:r>
        <w:rPr>
          <w:rFonts w:hint="eastAsia" w:ascii="ＭＳ 明朝" w:hAnsi="ＭＳ 明朝" w:eastAsia="ＭＳ 明朝"/>
          <w:sz w:val="22"/>
          <w:highlight w:val="none"/>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eastAsia" w:asciiTheme="minorEastAsia" w:hAnsiTheme="minorEastAsia" w:eastAsiaTheme="minorEastAsia"/>
          <w:sz w:val="22"/>
          <w:highlight w:val="none"/>
        </w:rPr>
      </w:pPr>
      <w:r>
        <w:rPr>
          <w:rFonts w:hint="eastAsia" w:ascii="ＭＳ 明朝" w:hAnsi="ＭＳ 明朝" w:eastAsia="ＭＳ 明朝"/>
          <w:sz w:val="22"/>
          <w:highlight w:val="none"/>
        </w:rPr>
        <w:t>　</w:t>
      </w:r>
      <w:r>
        <w:rPr>
          <w:rFonts w:hint="eastAsia" w:asciiTheme="minorEastAsia" w:hAnsiTheme="minorEastAsia" w:eastAsiaTheme="minorEastAsia"/>
          <w:sz w:val="22"/>
          <w:highlight w:val="none"/>
        </w:rPr>
        <w:t>令和</w:t>
      </w:r>
      <w:r>
        <w:rPr>
          <w:rFonts w:hint="eastAsia" w:asciiTheme="minorEastAsia" w:hAnsiTheme="minorEastAsia" w:eastAsiaTheme="minorEastAsia"/>
          <w:sz w:val="22"/>
          <w:highlight w:val="none"/>
        </w:rPr>
        <w:t>7</w:t>
      </w:r>
      <w:r>
        <w:rPr>
          <w:rFonts w:hint="eastAsia" w:asciiTheme="minorEastAsia" w:hAnsiTheme="minorEastAsia" w:eastAsiaTheme="minorEastAsia"/>
          <w:sz w:val="22"/>
          <w:highlight w:val="none"/>
        </w:rPr>
        <w:t>年</w:t>
      </w:r>
      <w:r>
        <w:rPr>
          <w:rFonts w:hint="eastAsia" w:asciiTheme="minorEastAsia" w:hAnsiTheme="minorEastAsia" w:eastAsiaTheme="minorEastAsia"/>
          <w:sz w:val="22"/>
          <w:highlight w:val="none"/>
        </w:rPr>
        <w:t xml:space="preserve"> 8</w:t>
      </w:r>
      <w:r>
        <w:rPr>
          <w:rFonts w:hint="eastAsia" w:asciiTheme="minorEastAsia" w:hAnsiTheme="minorEastAsia" w:eastAsiaTheme="minorEastAsia"/>
          <w:sz w:val="22"/>
          <w:highlight w:val="none"/>
        </w:rPr>
        <w:t>月</w:t>
      </w:r>
      <w:r>
        <w:rPr>
          <w:rFonts w:hint="eastAsia" w:asciiTheme="minorEastAsia" w:hAnsiTheme="minorEastAsia" w:eastAsiaTheme="minorEastAsia"/>
          <w:sz w:val="22"/>
          <w:highlight w:val="none"/>
        </w:rPr>
        <w:t>27</w:t>
      </w:r>
      <w:r>
        <w:rPr>
          <w:rFonts w:hint="eastAsia" w:asciiTheme="minorEastAsia" w:hAnsiTheme="minorEastAsia" w:eastAsiaTheme="minorEastAsia"/>
          <w:sz w:val="22"/>
          <w:highlight w:val="none"/>
        </w:rPr>
        <w:t>日</w:t>
      </w:r>
    </w:p>
    <w:p>
      <w:pPr>
        <w:pStyle w:val="0"/>
        <w:kinsoku w:val="0"/>
        <w:wordWrap w:val="0"/>
        <w:spacing w:line="358" w:lineRule="exact"/>
        <w:rPr>
          <w:rFonts w:hint="default" w:ascii="ＭＳ 明朝" w:hAnsi="ＭＳ 明朝" w:eastAsia="ＭＳ 明朝"/>
          <w:sz w:val="22"/>
          <w:highlight w:val="none"/>
        </w:rPr>
      </w:pPr>
    </w:p>
    <w:p>
      <w:pPr>
        <w:pStyle w:val="0"/>
        <w:kinsoku w:val="0"/>
        <w:wordWrap w:val="0"/>
        <w:spacing w:line="358" w:lineRule="exact"/>
        <w:ind w:left="5983" w:leftChars="3042"/>
        <w:rPr>
          <w:rFonts w:hint="default" w:ascii="ＭＳ 明朝" w:hAnsi="ＭＳ 明朝" w:eastAsia="ＭＳ 明朝"/>
          <w:sz w:val="22"/>
        </w:rPr>
      </w:pPr>
      <w:r>
        <w:rPr>
          <w:rFonts w:hint="eastAsia" w:ascii="ＭＳ 明朝" w:hAnsi="ＭＳ 明朝" w:eastAsia="ＭＳ 明朝"/>
          <w:sz w:val="22"/>
        </w:rPr>
        <w:t>大崎市長　伊藤</w:t>
      </w:r>
      <w:r>
        <w:rPr>
          <w:rFonts w:hint="eastAsia" w:ascii="ＭＳ 明朝" w:hAnsi="ＭＳ 明朝" w:eastAsia="ＭＳ 明朝"/>
          <w:sz w:val="22"/>
        </w:rPr>
        <w:t xml:space="preserve"> </w:t>
      </w:r>
      <w:r>
        <w:rPr>
          <w:rFonts w:hint="eastAsia" w:ascii="ＭＳ 明朝" w:hAnsi="ＭＳ 明朝" w:eastAsia="ＭＳ 明朝"/>
          <w:sz w:val="22"/>
        </w:rPr>
        <w:t>康志</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　入札に付する事項</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（１）契約番号　</w:t>
      </w:r>
      <w:r>
        <w:rPr>
          <w:rFonts w:hint="eastAsia" w:asciiTheme="minorEastAsia" w:hAnsiTheme="minorEastAsia" w:eastAsiaTheme="minorEastAsia"/>
          <w:sz w:val="22"/>
        </w:rPr>
        <w:t>2025001120</w:t>
      </w:r>
    </w:p>
    <w:p>
      <w:pPr>
        <w:pStyle w:val="0"/>
        <w:tabs>
          <w:tab w:val="left" w:leader="none" w:pos="3349"/>
        </w:tabs>
        <w:rPr>
          <w:rFonts w:hint="eastAsia" w:asciiTheme="minorEastAsia" w:hAnsiTheme="minorEastAsia" w:eastAsiaTheme="minorEastAsia"/>
          <w:sz w:val="22"/>
        </w:rPr>
      </w:pPr>
      <w:r>
        <w:rPr>
          <w:rFonts w:hint="eastAsia" w:asciiTheme="minorEastAsia" w:hAnsiTheme="minorEastAsia" w:eastAsiaTheme="minorEastAsia"/>
          <w:sz w:val="22"/>
        </w:rPr>
        <w:t>（２）</w:t>
      </w:r>
      <w:r>
        <w:rPr>
          <w:rFonts w:hint="eastAsia" w:asciiTheme="minorEastAsia" w:hAnsiTheme="minorEastAsia" w:eastAsiaTheme="minorEastAsia"/>
          <w:spacing w:val="56"/>
          <w:sz w:val="22"/>
          <w:fitText w:val="884" w:id="1"/>
        </w:rPr>
        <w:t>工事</w:t>
      </w:r>
      <w:r>
        <w:rPr>
          <w:rFonts w:hint="eastAsia" w:asciiTheme="minorEastAsia" w:hAnsiTheme="minorEastAsia" w:eastAsiaTheme="minorEastAsia"/>
          <w:spacing w:val="0"/>
          <w:sz w:val="22"/>
          <w:fitText w:val="884" w:id="1"/>
        </w:rPr>
        <w:t>名</w:t>
      </w:r>
      <w:r>
        <w:rPr>
          <w:rFonts w:hint="eastAsia" w:asciiTheme="minorEastAsia" w:hAnsiTheme="minorEastAsia" w:eastAsiaTheme="minorEastAsia"/>
          <w:sz w:val="22"/>
        </w:rPr>
        <w:t>　旧鳴子総合支所庁舎解体及び土留工事</w:t>
      </w:r>
    </w:p>
    <w:p>
      <w:pPr>
        <w:pStyle w:val="0"/>
        <w:tabs>
          <w:tab w:val="left" w:leader="none" w:pos="3349"/>
        </w:tabs>
        <w:rPr>
          <w:rFonts w:hint="eastAsia" w:asciiTheme="minorEastAsia" w:hAnsiTheme="minorEastAsia" w:eastAsiaTheme="minorEastAsia"/>
          <w:sz w:val="22"/>
        </w:rPr>
      </w:pPr>
      <w:r>
        <w:rPr>
          <w:rFonts w:hint="eastAsia" w:asciiTheme="minorEastAsia" w:hAnsiTheme="minorEastAsia" w:eastAsiaTheme="minorEastAsia"/>
          <w:sz w:val="22"/>
        </w:rPr>
        <w:t>（３）工事場所　大崎市鳴子温泉字新屋敷</w:t>
      </w:r>
      <w:r>
        <w:rPr>
          <w:rFonts w:hint="eastAsia" w:asciiTheme="minorEastAsia" w:hAnsiTheme="minorEastAsia" w:eastAsiaTheme="minorEastAsia"/>
          <w:sz w:val="22"/>
        </w:rPr>
        <w:t>65</w:t>
      </w:r>
      <w:r>
        <w:rPr>
          <w:rFonts w:hint="eastAsia" w:asciiTheme="minorEastAsia" w:hAnsiTheme="minorEastAsia" w:eastAsiaTheme="minorEastAsia"/>
          <w:sz w:val="22"/>
        </w:rPr>
        <w:t>番地</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（４）</w:t>
      </w:r>
      <w:r>
        <w:rPr>
          <w:rFonts w:hint="eastAsia" w:asciiTheme="minorEastAsia" w:hAnsiTheme="minorEastAsia" w:eastAsiaTheme="minorEastAsia"/>
          <w:spacing w:val="222"/>
          <w:sz w:val="22"/>
          <w:fitText w:val="884" w:id="2"/>
        </w:rPr>
        <w:t>工</w:t>
      </w:r>
      <w:r>
        <w:rPr>
          <w:rFonts w:hint="eastAsia" w:asciiTheme="minorEastAsia" w:hAnsiTheme="minorEastAsia" w:eastAsiaTheme="minorEastAsia"/>
          <w:spacing w:val="0"/>
          <w:sz w:val="22"/>
          <w:fitText w:val="884" w:id="2"/>
        </w:rPr>
        <w:t>期</w:t>
      </w:r>
      <w:r>
        <w:rPr>
          <w:rFonts w:hint="eastAsia" w:asciiTheme="minorEastAsia" w:hAnsiTheme="minorEastAsia" w:eastAsiaTheme="minorEastAsia"/>
          <w:sz w:val="22"/>
        </w:rPr>
        <w:t>　契約日の翌日から令和</w:t>
      </w:r>
      <w:r>
        <w:rPr>
          <w:rFonts w:hint="eastAsia" w:asciiTheme="minorEastAsia" w:hAnsiTheme="minorEastAsia" w:eastAsiaTheme="minorEastAsia"/>
          <w:sz w:val="22"/>
        </w:rPr>
        <w:t>8</w:t>
      </w:r>
      <w:r>
        <w:rPr>
          <w:rFonts w:hint="eastAsia" w:asciiTheme="minorEastAsia" w:hAnsiTheme="minorEastAsia" w:eastAsiaTheme="minorEastAsia"/>
          <w:sz w:val="22"/>
        </w:rPr>
        <w:t>年</w:t>
      </w:r>
      <w:r>
        <w:rPr>
          <w:rFonts w:hint="eastAsia" w:asciiTheme="minorEastAsia" w:hAnsiTheme="minorEastAsia" w:eastAsiaTheme="minorEastAsia"/>
          <w:sz w:val="22"/>
        </w:rPr>
        <w:t xml:space="preserve"> 3</w:t>
      </w:r>
      <w:r>
        <w:rPr>
          <w:rFonts w:hint="eastAsia" w:asciiTheme="minorEastAsia" w:hAnsiTheme="minorEastAsia" w:eastAsiaTheme="minorEastAsia"/>
          <w:sz w:val="22"/>
          <w:highlight w:val="none"/>
        </w:rPr>
        <w:t>月</w:t>
      </w:r>
      <w:r>
        <w:rPr>
          <w:rFonts w:hint="eastAsia" w:asciiTheme="minorEastAsia" w:hAnsiTheme="minorEastAsia" w:eastAsiaTheme="minorEastAsia"/>
          <w:sz w:val="22"/>
          <w:highlight w:val="none"/>
        </w:rPr>
        <w:t>13</w:t>
      </w:r>
      <w:r>
        <w:rPr>
          <w:rFonts w:hint="eastAsia" w:asciiTheme="minorEastAsia" w:hAnsiTheme="minorEastAsia" w:eastAsiaTheme="minorEastAsia"/>
          <w:sz w:val="22"/>
          <w:highlight w:val="none"/>
        </w:rPr>
        <w:t>日まで</w:t>
      </w:r>
    </w:p>
    <w:p>
      <w:pPr>
        <w:pStyle w:val="30"/>
        <w:numPr>
          <w:numId w:val="0"/>
        </w:numPr>
        <w:ind w:left="0" w:leftChars="0" w:firstLineChars="0"/>
        <w:rPr>
          <w:rFonts w:hint="eastAsia" w:asciiTheme="minorEastAsia" w:hAnsiTheme="minorEastAsia" w:eastAsiaTheme="minorEastAsia"/>
          <w:sz w:val="22"/>
        </w:rPr>
      </w:pPr>
      <w:r>
        <w:rPr>
          <w:rFonts w:hint="eastAsia" w:asciiTheme="minorEastAsia" w:hAnsiTheme="minorEastAsia" w:eastAsiaTheme="minorEastAsia"/>
          <w:sz w:val="22"/>
        </w:rPr>
        <w:t>（５）</w:t>
      </w:r>
      <w:r>
        <w:rPr>
          <w:rFonts w:hint="eastAsia" w:asciiTheme="minorEastAsia" w:hAnsiTheme="minorEastAsia" w:eastAsiaTheme="minorEastAsia"/>
          <w:spacing w:val="222"/>
          <w:sz w:val="22"/>
          <w:fitText w:val="884" w:id="3"/>
        </w:rPr>
        <w:t>概</w:t>
      </w:r>
      <w:r>
        <w:rPr>
          <w:rFonts w:hint="eastAsia" w:asciiTheme="minorEastAsia" w:hAnsiTheme="minorEastAsia" w:eastAsiaTheme="minorEastAsia"/>
          <w:spacing w:val="0"/>
          <w:sz w:val="22"/>
          <w:fitText w:val="884" w:id="3"/>
        </w:rPr>
        <w:t>要</w:t>
      </w:r>
      <w:r>
        <w:rPr>
          <w:rFonts w:hint="eastAsia" w:asciiTheme="minorEastAsia" w:hAnsiTheme="minorEastAsia" w:eastAsiaTheme="minorEastAsia"/>
          <w:sz w:val="22"/>
        </w:rPr>
        <w:t>　・旧鳴子総合支所庁舎　　鉄筋コンクリート造　</w:t>
      </w:r>
      <w:r>
        <w:rPr>
          <w:rFonts w:hint="eastAsia" w:asciiTheme="minorEastAsia" w:hAnsiTheme="minorEastAsia" w:eastAsiaTheme="minorEastAsia"/>
          <w:sz w:val="22"/>
        </w:rPr>
        <w:t>3</w:t>
      </w:r>
      <w:r>
        <w:rPr>
          <w:rFonts w:hint="eastAsia" w:asciiTheme="minorEastAsia" w:hAnsiTheme="minorEastAsia" w:eastAsiaTheme="minorEastAsia"/>
          <w:sz w:val="22"/>
        </w:rPr>
        <w:t>階建，延べ面積　</w:t>
      </w:r>
      <w:r>
        <w:rPr>
          <w:rFonts w:hint="eastAsia" w:asciiTheme="minorEastAsia" w:hAnsiTheme="minorEastAsia" w:eastAsiaTheme="minorEastAsia"/>
          <w:sz w:val="22"/>
        </w:rPr>
        <w:t>1,355.3</w:t>
      </w:r>
      <w:r>
        <w:rPr>
          <w:rFonts w:hint="eastAsia" w:asciiTheme="minorEastAsia" w:hAnsiTheme="minorEastAsia" w:eastAsiaTheme="minorEastAsia"/>
          <w:sz w:val="22"/>
        </w:rPr>
        <w:t>㎡</w:t>
      </w:r>
    </w:p>
    <w:p>
      <w:pPr>
        <w:pStyle w:val="30"/>
        <w:numPr>
          <w:numId w:val="0"/>
        </w:numPr>
        <w:ind w:left="0" w:leftChars="0" w:firstLine="1734" w:firstLineChars="800"/>
        <w:rPr>
          <w:rFonts w:hint="eastAsia" w:asciiTheme="minorEastAsia" w:hAnsiTheme="minorEastAsia" w:eastAsiaTheme="minorEastAsia"/>
          <w:sz w:val="22"/>
        </w:rPr>
      </w:pPr>
      <w:r>
        <w:rPr>
          <w:rFonts w:hint="eastAsia" w:asciiTheme="minorEastAsia" w:hAnsiTheme="minorEastAsia" w:eastAsiaTheme="minorEastAsia"/>
          <w:sz w:val="22"/>
        </w:rPr>
        <w:t>・庁舎解体　建物解体撤去工事　　　一式</w:t>
      </w:r>
    </w:p>
    <w:p>
      <w:pPr>
        <w:pStyle w:val="30"/>
        <w:numPr>
          <w:numId w:val="0"/>
        </w:numPr>
        <w:ind w:left="0" w:leftChars="0" w:firstLineChars="0"/>
        <w:rPr>
          <w:rFonts w:hint="eastAsia" w:asciiTheme="minorEastAsia" w:hAnsiTheme="minorEastAsia" w:eastAsiaTheme="minorEastAsia"/>
          <w:sz w:val="22"/>
        </w:rPr>
      </w:pPr>
      <w:r>
        <w:rPr>
          <w:rFonts w:hint="eastAsia" w:asciiTheme="minorEastAsia" w:hAnsiTheme="minorEastAsia" w:eastAsiaTheme="minorEastAsia"/>
          <w:sz w:val="22"/>
        </w:rPr>
        <w:t>　　　　　　　　　　　　　　電気設備解体撤去工事　一式</w:t>
      </w:r>
    </w:p>
    <w:p>
      <w:pPr>
        <w:pStyle w:val="30"/>
        <w:numPr>
          <w:numId w:val="0"/>
        </w:numPr>
        <w:ind w:left="0" w:leftChars="0" w:firstLineChars="0"/>
        <w:rPr>
          <w:rFonts w:hint="eastAsia" w:asciiTheme="minorEastAsia" w:hAnsiTheme="minorEastAsia" w:eastAsiaTheme="minorEastAsia"/>
          <w:sz w:val="22"/>
        </w:rPr>
      </w:pPr>
      <w:r>
        <w:rPr>
          <w:rFonts w:hint="eastAsia" w:asciiTheme="minorEastAsia" w:hAnsiTheme="minorEastAsia" w:eastAsiaTheme="minorEastAsia"/>
          <w:sz w:val="22"/>
        </w:rPr>
        <w:t>　　　　　　　　　　　　　　機械設備解体撤去工事　一式</w:t>
      </w:r>
    </w:p>
    <w:p>
      <w:pPr>
        <w:pStyle w:val="30"/>
        <w:numPr>
          <w:numId w:val="0"/>
        </w:numPr>
        <w:ind w:left="0" w:leftChars="0" w:firstLineChars="0"/>
        <w:rPr>
          <w:rFonts w:hint="eastAsia" w:asciiTheme="minorEastAsia" w:hAnsiTheme="minorEastAsia" w:eastAsiaTheme="minorEastAsia"/>
          <w:sz w:val="22"/>
        </w:rPr>
      </w:pPr>
      <w:r>
        <w:rPr>
          <w:rFonts w:hint="eastAsia" w:asciiTheme="minorEastAsia" w:hAnsiTheme="minorEastAsia" w:eastAsiaTheme="minorEastAsia"/>
          <w:sz w:val="22"/>
        </w:rPr>
        <w:t>　　　　　　　　　　　　　　発生材処理　　　　　　一式</w:t>
      </w:r>
    </w:p>
    <w:p>
      <w:pPr>
        <w:pStyle w:val="30"/>
        <w:numPr>
          <w:numId w:val="0"/>
        </w:numPr>
        <w:ind w:left="0" w:leftChars="0" w:firstLine="1734" w:firstLineChars="800"/>
        <w:rPr>
          <w:rFonts w:hint="eastAsia" w:asciiTheme="minorEastAsia" w:hAnsiTheme="minorEastAsia" w:eastAsiaTheme="minorEastAsia"/>
          <w:sz w:val="22"/>
        </w:rPr>
      </w:pPr>
      <w:r>
        <w:rPr>
          <w:rFonts w:hint="eastAsia" w:asciiTheme="minorEastAsia" w:hAnsiTheme="minorEastAsia" w:eastAsiaTheme="minorEastAsia"/>
          <w:sz w:val="22"/>
        </w:rPr>
        <w:t>・土</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留</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工　場所打杭工（東西）　　一式</w:t>
      </w:r>
    </w:p>
    <w:p>
      <w:pPr>
        <w:pStyle w:val="30"/>
        <w:numPr>
          <w:numId w:val="0"/>
        </w:numPr>
        <w:ind w:left="0" w:leftChars="0" w:firstLineChars="0"/>
        <w:rPr>
          <w:rFonts w:hint="eastAsia" w:asciiTheme="minorEastAsia" w:hAnsiTheme="minorEastAsia" w:eastAsiaTheme="minorEastAsia"/>
          <w:sz w:val="22"/>
        </w:rPr>
      </w:pPr>
      <w:r>
        <w:rPr>
          <w:rFonts w:hint="eastAsia" w:asciiTheme="minorEastAsia" w:hAnsiTheme="minorEastAsia" w:eastAsiaTheme="minorEastAsia"/>
          <w:sz w:val="22"/>
        </w:rPr>
        <w:t>　　　　　　　　　　　　　　盛土工　　　</w:t>
      </w:r>
      <w:r>
        <w:rPr>
          <w:rFonts w:hint="eastAsia" w:asciiTheme="minorEastAsia" w:hAnsiTheme="minorEastAsia" w:eastAsiaTheme="minorEastAsia"/>
          <w:sz w:val="22"/>
        </w:rPr>
        <w:t>980</w:t>
      </w:r>
      <w:r>
        <w:rPr>
          <w:rFonts w:hint="eastAsia" w:asciiTheme="minorEastAsia" w:hAnsiTheme="minorEastAsia" w:eastAsiaTheme="minorEastAsia"/>
          <w:sz w:val="22"/>
        </w:rPr>
        <w:t>㎥</w:t>
      </w:r>
    </w:p>
    <w:p>
      <w:pPr>
        <w:pStyle w:val="30"/>
        <w:numPr>
          <w:numId w:val="0"/>
        </w:numPr>
        <w:ind w:left="0" w:leftChars="0" w:firstLineChars="0"/>
        <w:rPr>
          <w:rFonts w:hint="default"/>
          <w:sz w:val="22"/>
        </w:rPr>
      </w:pPr>
    </w:p>
    <w:p>
      <w:pPr>
        <w:pStyle w:val="0"/>
        <w:kinsoku w:val="0"/>
        <w:wordWrap w:val="0"/>
        <w:spacing w:line="358" w:lineRule="exact"/>
        <w:ind w:right="-90" w:rightChars="-46"/>
        <w:rPr>
          <w:rFonts w:hint="default" w:ascii="ＭＳ 明朝" w:hAnsi="ＭＳ 明朝" w:eastAsia="ＭＳ 明朝"/>
          <w:sz w:val="22"/>
        </w:rPr>
      </w:pPr>
      <w:r>
        <w:rPr>
          <w:rFonts w:hint="eastAsia" w:ascii="ＭＳ 明朝" w:hAnsi="ＭＳ 明朝" w:eastAsia="ＭＳ 明朝"/>
          <w:color w:val="000000"/>
          <w:sz w:val="22"/>
        </w:rPr>
        <w:t>（６）支払条件　前金払　有</w:t>
      </w:r>
    </w:p>
    <w:p>
      <w:pPr>
        <w:pStyle w:val="0"/>
        <w:kinsoku w:val="0"/>
        <w:wordWrap w:val="0"/>
        <w:spacing w:line="358" w:lineRule="exact"/>
        <w:ind w:left="2167" w:hanging="2167" w:hangingChars="1000"/>
        <w:rPr>
          <w:rFonts w:hint="default" w:asciiTheme="minorEastAsia" w:hAnsiTheme="minorEastAsia" w:eastAsiaTheme="minorEastAsia"/>
          <w:sz w:val="22"/>
        </w:rPr>
      </w:pPr>
      <w:r>
        <w:rPr>
          <w:rFonts w:hint="eastAsia" w:ascii="ＭＳ 明朝" w:hAnsi="ＭＳ 明朝" w:eastAsia="ＭＳ 明朝"/>
          <w:color w:val="000000"/>
          <w:sz w:val="22"/>
        </w:rPr>
        <w:t>（７）</w:t>
      </w:r>
      <w:r>
        <w:rPr>
          <w:rFonts w:hint="eastAsia"/>
          <w:sz w:val="22"/>
          <w:u w:val="single" w:color="auto"/>
        </w:rPr>
        <w:t>調査基準価格　設定有（大崎市低入札価格履行能力確認調査実施要領第３条及び第５条を必</w:t>
      </w:r>
    </w:p>
    <w:p>
      <w:pPr>
        <w:pStyle w:val="0"/>
        <w:kinsoku w:val="0"/>
        <w:wordWrap w:val="0"/>
        <w:spacing w:line="358" w:lineRule="exact"/>
        <w:ind w:left="2107" w:leftChars="300" w:hanging="1517" w:hangingChars="700"/>
        <w:rPr>
          <w:rFonts w:hint="default" w:asciiTheme="minorEastAsia" w:hAnsiTheme="minorEastAsia" w:eastAsiaTheme="minorEastAsia"/>
          <w:sz w:val="22"/>
        </w:rPr>
      </w:pPr>
      <w:r>
        <w:rPr>
          <w:rFonts w:hint="eastAsia"/>
          <w:sz w:val="22"/>
          <w:u w:val="single" w:color="auto"/>
        </w:rPr>
        <w:t>読のこと）</w:t>
      </w:r>
    </w:p>
    <w:p>
      <w:pPr>
        <w:pStyle w:val="0"/>
        <w:kinsoku w:val="0"/>
        <w:spacing w:line="358" w:lineRule="exact"/>
        <w:ind w:left="1950" w:hanging="1950" w:hangingChars="900"/>
        <w:rPr>
          <w:rFonts w:hint="default" w:asciiTheme="minorEastAsia" w:hAnsiTheme="minorEastAsia" w:eastAsiaTheme="minorEastAsia"/>
          <w:sz w:val="22"/>
          <w:highlight w:val="none"/>
        </w:rPr>
      </w:pPr>
      <w:r>
        <w:rPr>
          <w:rFonts w:hint="eastAsia" w:asciiTheme="minorEastAsia" w:hAnsiTheme="minorEastAsia" w:eastAsiaTheme="minorEastAsia"/>
          <w:sz w:val="22"/>
        </w:rPr>
        <w:t>（８）</w:t>
      </w:r>
      <w:r>
        <w:rPr>
          <w:rFonts w:hint="eastAsia" w:asciiTheme="minorEastAsia" w:hAnsiTheme="minorEastAsia" w:eastAsiaTheme="minorEastAsia"/>
          <w:sz w:val="22"/>
          <w:highlight w:val="none"/>
        </w:rPr>
        <w:t>入札方法</w:t>
      </w:r>
    </w:p>
    <w:p>
      <w:pPr>
        <w:pStyle w:val="0"/>
        <w:kinsoku w:val="0"/>
        <w:spacing w:line="358" w:lineRule="exact"/>
        <w:ind w:left="610" w:leftChars="200" w:hanging="217" w:hanging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ア　条件付き一般競争入札（</w:t>
      </w:r>
      <w:r>
        <w:rPr>
          <w:rFonts w:hint="eastAsia"/>
          <w:sz w:val="22"/>
        </w:rPr>
        <w:t>事後審査型及び総合評価落札方式（特別簡易型）</w:t>
      </w:r>
      <w:r>
        <w:rPr>
          <w:rFonts w:hint="eastAsia" w:asciiTheme="minorEastAsia" w:hAnsiTheme="minorEastAsia" w:eastAsiaTheme="minorEastAsia"/>
          <w:sz w:val="22"/>
          <w:highlight w:val="none"/>
        </w:rPr>
        <w:t>）</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初度の入札で，予定価格の範囲内の価格で入札がない場合は，直ちに再度入札を１回のみ実施する。</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ウ　再度入札において，なお予定価格の範囲内の価格での入札がない場合は，最低価格入札者と随意契約の協議を行う場合がある。（その場合は，見積書の提出を求める。）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left="0" w:leftChars="0"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２　入札保証金　免除する。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３　契約保証金　</w:t>
      </w:r>
      <w:r>
        <w:rPr>
          <w:rFonts w:hint="eastAsia" w:asciiTheme="minorEastAsia" w:hAnsiTheme="minorEastAsia" w:eastAsiaTheme="minorEastAsia"/>
          <w:sz w:val="22"/>
        </w:rPr>
        <w:t>契約金額の１０分の１以上の金額とする。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sz w:val="22"/>
        </w:rPr>
      </w:pPr>
      <w:r>
        <w:rPr>
          <w:rFonts w:hint="eastAsia" w:ascii="ＭＳ 明朝" w:hAnsi="ＭＳ 明朝" w:eastAsia="ＭＳ 明朝"/>
          <w:color w:val="000000"/>
          <w:sz w:val="22"/>
        </w:rPr>
        <w:t>４　</w:t>
      </w:r>
      <w:r>
        <w:rPr>
          <w:rFonts w:hint="eastAsia" w:ascii="ＭＳ 明朝" w:hAnsi="ＭＳ 明朝" w:eastAsia="ＭＳ 明朝"/>
          <w:sz w:val="22"/>
        </w:rPr>
        <w:t>入札に参加する者に必要な資格に関する事項</w:t>
      </w:r>
    </w:p>
    <w:p>
      <w:pPr>
        <w:pStyle w:val="16"/>
        <w:ind w:left="393" w:leftChars="200" w:firstLine="217" w:firstLineChars="100"/>
        <w:rPr>
          <w:rFonts w:hint="default"/>
          <w:sz w:val="22"/>
        </w:rPr>
      </w:pPr>
      <w:r>
        <w:rPr>
          <w:rFonts w:hint="eastAsia"/>
          <w:sz w:val="22"/>
        </w:rPr>
        <w:t>大崎市建設工事に係る競争入札の参加登録等に関する規程第５条に規定する令和７・８年度建設工事入札参加業者登録簿に登録されている業者で，下記の要件を満たしていること。</w:t>
      </w:r>
    </w:p>
    <w:p>
      <w:pPr>
        <w:pStyle w:val="16"/>
        <w:ind w:left="0" w:leftChars="0" w:firstLine="0" w:firstLineChars="0"/>
        <w:rPr>
          <w:rFonts w:hint="default"/>
          <w:sz w:val="22"/>
        </w:rPr>
      </w:pPr>
    </w:p>
    <w:p>
      <w:pPr>
        <w:pStyle w:val="22"/>
        <w:rPr>
          <w:rFonts w:hint="default"/>
          <w:sz w:val="22"/>
        </w:rPr>
      </w:pPr>
      <w:r>
        <w:rPr>
          <w:rFonts w:hint="eastAsia"/>
          <w:sz w:val="22"/>
        </w:rPr>
        <w:t>記</w:t>
      </w:r>
    </w:p>
    <w:p>
      <w:pPr>
        <w:pStyle w:val="0"/>
        <w:rPr>
          <w:rFonts w:hint="default"/>
        </w:rPr>
      </w:pPr>
    </w:p>
    <w:tbl>
      <w:tblPr>
        <w:tblStyle w:val="11"/>
        <w:tblW w:w="974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261"/>
        <w:gridCol w:w="6483"/>
      </w:tblGrid>
      <w:tr>
        <w:trPr>
          <w:trHeight w:val="417" w:hRule="atLeast"/>
        </w:trPr>
        <w:tc>
          <w:tcPr>
            <w:tcW w:w="3261" w:type="dxa"/>
            <w:shd w:val="clear" w:color="auto" w:fill="auto"/>
            <w:vAlign w:val="top"/>
          </w:tcPr>
          <w:p>
            <w:pPr>
              <w:pStyle w:val="0"/>
              <w:rPr>
                <w:rFonts w:hint="default"/>
                <w:sz w:val="22"/>
              </w:rPr>
            </w:pPr>
            <w:r>
              <w:rPr>
                <w:rFonts w:hint="eastAsia"/>
                <w:sz w:val="22"/>
              </w:rPr>
              <w:t>登録業種</w:t>
            </w:r>
          </w:p>
        </w:tc>
        <w:tc>
          <w:tcPr>
            <w:tcW w:w="648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sz w:val="22"/>
              </w:rPr>
            </w:pPr>
            <w:r>
              <w:rPr>
                <w:rFonts w:hint="eastAsia"/>
                <w:sz w:val="22"/>
              </w:rPr>
              <w:t>土木一式工事</w:t>
            </w:r>
          </w:p>
        </w:tc>
      </w:tr>
      <w:tr>
        <w:trPr>
          <w:trHeight w:val="463" w:hRule="atLeast"/>
        </w:trPr>
        <w:tc>
          <w:tcPr>
            <w:tcW w:w="3261" w:type="dxa"/>
            <w:shd w:val="clear" w:color="auto" w:fill="auto"/>
            <w:vAlign w:val="top"/>
          </w:tcPr>
          <w:p>
            <w:pPr>
              <w:pStyle w:val="0"/>
              <w:rPr>
                <w:rFonts w:hint="default"/>
                <w:sz w:val="22"/>
              </w:rPr>
            </w:pPr>
            <w:r>
              <w:rPr>
                <w:rFonts w:hint="eastAsia" w:asciiTheme="minorEastAsia" w:hAnsiTheme="minorEastAsia" w:eastAsiaTheme="minorEastAsia"/>
                <w:sz w:val="22"/>
              </w:rPr>
              <w:t>登録等級</w:t>
            </w:r>
          </w:p>
        </w:tc>
        <w:tc>
          <w:tcPr>
            <w:tcW w:w="6483" w:type="dxa"/>
            <w:shd w:val="clear" w:color="auto" w:fill="auto"/>
            <w:vAlign w:val="top"/>
          </w:tcPr>
          <w:p>
            <w:pPr>
              <w:pStyle w:val="0"/>
              <w:rPr>
                <w:rFonts w:hint="default" w:asciiTheme="minorEastAsia" w:hAnsiTheme="minorEastAsia" w:eastAsiaTheme="minorEastAsia"/>
                <w:sz w:val="22"/>
              </w:rPr>
            </w:pPr>
            <w:r>
              <w:rPr>
                <w:rFonts w:hint="eastAsia"/>
                <w:sz w:val="22"/>
              </w:rPr>
              <w:t>Ａ等級</w:t>
            </w:r>
          </w:p>
        </w:tc>
      </w:tr>
      <w:tr>
        <w:trPr>
          <w:trHeight w:val="413" w:hRule="atLeast"/>
        </w:trPr>
        <w:tc>
          <w:tcPr>
            <w:tcW w:w="3261" w:type="dxa"/>
            <w:shd w:val="clear" w:color="auto" w:fill="auto"/>
            <w:vAlign w:val="top"/>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事業所の所在地に関する条件</w:t>
            </w:r>
          </w:p>
        </w:tc>
        <w:tc>
          <w:tcPr>
            <w:tcW w:w="6483" w:type="dxa"/>
            <w:shd w:val="clear" w:color="auto" w:fill="auto"/>
            <w:vAlign w:val="top"/>
          </w:tcPr>
          <w:p>
            <w:pPr>
              <w:pStyle w:val="0"/>
              <w:rPr>
                <w:rFonts w:hint="default"/>
                <w:sz w:val="22"/>
                <w:highlight w:val="none"/>
              </w:rPr>
            </w:pPr>
            <w:r>
              <w:rPr>
                <w:rFonts w:hint="eastAsia" w:asciiTheme="minorEastAsia" w:hAnsiTheme="minorEastAsia" w:eastAsiaTheme="minorEastAsia"/>
                <w:sz w:val="22"/>
              </w:rPr>
              <w:t>市内に本社</w:t>
            </w:r>
            <w:r>
              <w:rPr>
                <w:rFonts w:hint="eastAsia" w:asciiTheme="minorEastAsia" w:hAnsiTheme="minorEastAsia" w:eastAsiaTheme="minorEastAsia"/>
                <w:sz w:val="22"/>
              </w:rPr>
              <w:t>(</w:t>
            </w:r>
            <w:r>
              <w:rPr>
                <w:rFonts w:hint="eastAsia" w:asciiTheme="minorEastAsia" w:hAnsiTheme="minorEastAsia" w:eastAsiaTheme="minorEastAsia"/>
                <w:sz w:val="22"/>
              </w:rPr>
              <w:t>店</w:t>
            </w:r>
            <w:r>
              <w:rPr>
                <w:rFonts w:hint="eastAsia" w:asciiTheme="minorEastAsia" w:hAnsiTheme="minorEastAsia" w:eastAsiaTheme="minorEastAsia"/>
                <w:sz w:val="22"/>
              </w:rPr>
              <w:t>)</w:t>
            </w:r>
            <w:r>
              <w:rPr>
                <w:rFonts w:hint="eastAsia" w:asciiTheme="minorEastAsia" w:hAnsiTheme="minorEastAsia" w:eastAsiaTheme="minorEastAsia"/>
                <w:sz w:val="22"/>
                <w:highlight w:val="none"/>
              </w:rPr>
              <w:t>の登録を有すること。</w:t>
            </w:r>
          </w:p>
        </w:tc>
      </w:tr>
      <w:tr>
        <w:trPr>
          <w:trHeight w:val="420" w:hRule="atLeast"/>
        </w:trPr>
        <w:tc>
          <w:tcPr>
            <w:tcW w:w="3261" w:type="dxa"/>
            <w:shd w:val="clear" w:color="auto" w:fill="auto"/>
            <w:vAlign w:val="top"/>
          </w:tcPr>
          <w:p>
            <w:pPr>
              <w:pStyle w:val="0"/>
              <w:rPr>
                <w:rFonts w:hint="default"/>
              </w:rPr>
            </w:pPr>
            <w:r>
              <w:rPr>
                <w:rFonts w:hint="eastAsia" w:asciiTheme="minorEastAsia" w:hAnsiTheme="minorEastAsia" w:eastAsiaTheme="minorEastAsia"/>
                <w:sz w:val="22"/>
              </w:rPr>
              <w:t>配置技術者に関する条件</w:t>
            </w:r>
          </w:p>
        </w:tc>
        <w:tc>
          <w:tcPr>
            <w:tcW w:w="6483" w:type="dxa"/>
            <w:shd w:val="clear" w:color="auto" w:fill="auto"/>
            <w:vAlign w:val="top"/>
          </w:tcPr>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建設業法（昭和</w:t>
            </w:r>
            <w:r>
              <w:rPr>
                <w:rFonts w:hint="eastAsia" w:asciiTheme="minorEastAsia" w:hAnsiTheme="minorEastAsia" w:eastAsiaTheme="minorEastAsia"/>
                <w:sz w:val="22"/>
                <w:highlight w:val="none"/>
              </w:rPr>
              <w:t>24</w:t>
            </w:r>
            <w:r>
              <w:rPr>
                <w:rFonts w:hint="eastAsia" w:asciiTheme="minorEastAsia" w:hAnsiTheme="minorEastAsia" w:eastAsiaTheme="minorEastAsia"/>
                <w:sz w:val="22"/>
                <w:highlight w:val="none"/>
              </w:rPr>
              <w:t>年法律第</w:t>
            </w:r>
            <w:r>
              <w:rPr>
                <w:rFonts w:hint="eastAsia" w:asciiTheme="minorEastAsia" w:hAnsiTheme="minorEastAsia" w:eastAsiaTheme="minorEastAsia"/>
                <w:sz w:val="22"/>
                <w:highlight w:val="none"/>
              </w:rPr>
              <w:t>100</w:t>
            </w:r>
            <w:r>
              <w:rPr>
                <w:rFonts w:hint="eastAsia" w:asciiTheme="minorEastAsia" w:hAnsiTheme="minorEastAsia" w:eastAsiaTheme="minorEastAsia"/>
                <w:sz w:val="22"/>
                <w:highlight w:val="none"/>
              </w:rPr>
              <w:t>号）の定めるところにより，当該入札参加業者と直接雇用関係のある主任技術者又は監理技術者（以下「技術者」という。）をこの工事現場に配置できること。</w:t>
            </w:r>
          </w:p>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技術者は，建設業法の規定により専任で配置することが必要な場合にあっては入札期日（</w:t>
            </w:r>
            <w:r>
              <w:rPr>
                <w:rFonts w:hint="eastAsia" w:asciiTheme="minorEastAsia" w:hAnsiTheme="minorEastAsia" w:eastAsiaTheme="minorEastAsia"/>
                <w:sz w:val="22"/>
                <w:highlight w:val="none"/>
              </w:rPr>
              <w:t>6</w:t>
            </w:r>
            <w:r>
              <w:rPr>
                <w:rFonts w:hint="eastAsia" w:asciiTheme="minorEastAsia" w:hAnsiTheme="minorEastAsia" w:eastAsiaTheme="minorEastAsia"/>
                <w:sz w:val="22"/>
                <w:highlight w:val="none"/>
              </w:rPr>
              <w:t>の表に定める開札の期日をいう。）の前日から起算して３か月以上前から，引き続き入札参加業者と直接的な雇用関係にある者であること。</w:t>
            </w:r>
          </w:p>
          <w:p>
            <w:pPr>
              <w:pStyle w:val="30"/>
              <w:numPr>
                <w:ilvl w:val="0"/>
                <w:numId w:val="1"/>
              </w:numPr>
              <w:ind w:left="217" w:leftChars="0" w:hanging="217" w:hangingChars="100"/>
              <w:rPr>
                <w:rFonts w:hint="default"/>
                <w:highlight w:val="none"/>
              </w:rPr>
            </w:pP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監理技術者にあっては，監理技術者資格者証及び監理技術者</w:t>
            </w: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講習修了証を取得している者。</w:t>
            </w:r>
          </w:p>
        </w:tc>
      </w:tr>
      <w:tr>
        <w:trPr>
          <w:trHeight w:val="420" w:hRule="atLeast"/>
        </w:trPr>
        <w:tc>
          <w:tcPr>
            <w:tcW w:w="3261" w:type="dxa"/>
            <w:shd w:val="clear" w:color="auto" w:fill="auto"/>
            <w:vAlign w:val="top"/>
          </w:tcPr>
          <w:p>
            <w:pPr>
              <w:pStyle w:val="0"/>
              <w:rPr>
                <w:rFonts w:hint="eastAsia"/>
              </w:rPr>
            </w:pPr>
            <w:r>
              <w:rPr>
                <w:rFonts w:hint="eastAsia" w:asciiTheme="minorEastAsia" w:hAnsiTheme="minorEastAsia" w:eastAsiaTheme="minorEastAsia"/>
                <w:sz w:val="22"/>
              </w:rPr>
              <w:t>その他</w:t>
            </w:r>
          </w:p>
        </w:tc>
        <w:tc>
          <w:tcPr>
            <w:tcW w:w="6483" w:type="dxa"/>
            <w:shd w:val="clear" w:color="auto" w:fill="auto"/>
            <w:vAlign w:val="top"/>
          </w:tcPr>
          <w:p>
            <w:pPr>
              <w:pStyle w:val="0"/>
              <w:rPr>
                <w:rFonts w:hint="eastAsia"/>
                <w:strike w:val="0"/>
                <w:dstrike w:val="0"/>
              </w:rPr>
            </w:pPr>
            <w:r>
              <w:rPr>
                <w:rFonts w:hint="eastAsia"/>
                <w:strike w:val="0"/>
                <w:dstrike w:val="0"/>
              </w:rPr>
              <w:t>別紙条件付き一般競争入札</w:t>
            </w:r>
            <w:r>
              <w:rPr>
                <w:rFonts w:hint="eastAsia"/>
                <w:strike w:val="0"/>
                <w:dstrike w:val="0"/>
              </w:rPr>
              <w:t>(</w:t>
            </w:r>
            <w:r>
              <w:rPr>
                <w:rFonts w:hint="eastAsia"/>
                <w:strike w:val="0"/>
                <w:dstrike w:val="0"/>
              </w:rPr>
              <w:t>事後審査型及び総合評価落札方式</w:t>
            </w:r>
            <w:r>
              <w:rPr>
                <w:rFonts w:hint="eastAsia"/>
                <w:strike w:val="0"/>
                <w:dstrike w:val="0"/>
              </w:rPr>
              <w:t>(</w:t>
            </w:r>
            <w:r>
              <w:rPr>
                <w:rFonts w:hint="eastAsia"/>
                <w:strike w:val="0"/>
                <w:dstrike w:val="0"/>
              </w:rPr>
              <w:t>特別簡易型</w:t>
            </w:r>
            <w:r>
              <w:rPr>
                <w:rFonts w:hint="eastAsia"/>
                <w:strike w:val="0"/>
                <w:dstrike w:val="0"/>
              </w:rPr>
              <w:t>))</w:t>
            </w:r>
            <w:r>
              <w:rPr>
                <w:rFonts w:hint="eastAsia"/>
                <w:strike w:val="0"/>
                <w:dstrike w:val="0"/>
              </w:rPr>
              <w:t>公告共通事項に示すとおりとする。</w:t>
            </w:r>
          </w:p>
          <w:p>
            <w:pPr>
              <w:pStyle w:val="0"/>
              <w:rPr>
                <w:rFonts w:hint="eastAsia"/>
                <w:strike w:val="0"/>
                <w:dstrike w:val="0"/>
              </w:rPr>
            </w:pPr>
            <w:r>
              <w:rPr>
                <w:rFonts w:hint="eastAsia" w:asciiTheme="minorEastAsia" w:hAnsiTheme="minorEastAsia" w:eastAsiaTheme="minorEastAsia"/>
                <w:sz w:val="22"/>
              </w:rPr>
              <w:t>本工事は，週休２日工事【</w:t>
            </w:r>
            <w:r>
              <w:rPr>
                <w:rFonts w:hint="eastAsia" w:asciiTheme="minorEastAsia" w:hAnsiTheme="minorEastAsia" w:eastAsiaTheme="minorEastAsia"/>
                <w:strike w:val="0"/>
                <w:dstrike w:val="0"/>
                <w:sz w:val="22"/>
              </w:rPr>
              <w:t>現場閉所型】の対象である。</w:t>
            </w:r>
          </w:p>
        </w:tc>
      </w:tr>
    </w:tbl>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　担当課</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2835"/>
        <w:gridCol w:w="1701"/>
        <w:gridCol w:w="3969"/>
      </w:tblGrid>
      <w:tr>
        <w:trPr>
          <w:trHeight w:val="336" w:hRule="atLeast"/>
        </w:trPr>
        <w:tc>
          <w:tcPr>
            <w:tcW w:w="1418" w:type="dxa"/>
            <w:vAlign w:val="top"/>
          </w:tcPr>
          <w:p>
            <w:pPr>
              <w:pStyle w:val="0"/>
              <w:kinsoku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区分</w:t>
            </w:r>
          </w:p>
        </w:tc>
        <w:tc>
          <w:tcPr>
            <w:tcW w:w="2835"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担当課</w:t>
            </w:r>
          </w:p>
        </w:tc>
        <w:tc>
          <w:tcPr>
            <w:tcW w:w="1701"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電話番号</w:t>
            </w:r>
          </w:p>
        </w:tc>
        <w:tc>
          <w:tcPr>
            <w:tcW w:w="3969"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住所</w:t>
            </w:r>
          </w:p>
        </w:tc>
      </w:tr>
      <w:tr>
        <w:trPr>
          <w:cantSplit/>
          <w:trHeight w:val="413" w:hRule="atLeast"/>
        </w:trPr>
        <w:tc>
          <w:tcPr>
            <w:tcW w:w="1418" w:type="dxa"/>
            <w:vAlign w:val="center"/>
          </w:tcPr>
          <w:p>
            <w:pPr>
              <w:pStyle w:val="0"/>
              <w:rPr>
                <w:rFonts w:hint="default"/>
                <w:sz w:val="22"/>
              </w:rPr>
            </w:pPr>
            <w:r>
              <w:rPr>
                <w:rFonts w:hint="eastAsia"/>
                <w:sz w:val="22"/>
              </w:rPr>
              <w:t>入札担当課</w:t>
            </w:r>
          </w:p>
        </w:tc>
        <w:tc>
          <w:tcPr>
            <w:tcW w:w="2835" w:type="dxa"/>
            <w:vAlign w:val="center"/>
          </w:tcPr>
          <w:p>
            <w:pPr>
              <w:pStyle w:val="0"/>
              <w:rPr>
                <w:rFonts w:hint="default"/>
                <w:sz w:val="22"/>
              </w:rPr>
            </w:pPr>
            <w:r>
              <w:rPr>
                <w:rFonts w:hint="eastAsia"/>
                <w:sz w:val="22"/>
              </w:rPr>
              <w:t>大崎市総務部財政課</w:t>
            </w:r>
          </w:p>
        </w:tc>
        <w:tc>
          <w:tcPr>
            <w:tcW w:w="1701" w:type="dxa"/>
            <w:vAlign w:val="center"/>
          </w:tcPr>
          <w:p>
            <w:pPr>
              <w:pStyle w:val="0"/>
              <w:rPr>
                <w:rFonts w:hint="default"/>
                <w:sz w:val="22"/>
              </w:rPr>
            </w:pPr>
            <w:r>
              <w:rPr>
                <w:rFonts w:hint="eastAsia"/>
                <w:sz w:val="22"/>
              </w:rPr>
              <w:t>0229-23-5177</w:t>
            </w:r>
          </w:p>
        </w:tc>
        <w:tc>
          <w:tcPr>
            <w:tcW w:w="3969" w:type="dxa"/>
            <w:shd w:val="clear" w:color="auto" w:fill="auto"/>
            <w:vAlign w:val="center"/>
          </w:tcPr>
          <w:p>
            <w:pPr>
              <w:pStyle w:val="0"/>
              <w:rPr>
                <w:rFonts w:hint="default"/>
                <w:sz w:val="22"/>
              </w:rPr>
            </w:pPr>
            <w:r>
              <w:rPr>
                <w:rFonts w:hint="eastAsia"/>
                <w:sz w:val="22"/>
              </w:rPr>
              <w:t>〒</w:t>
            </w:r>
            <w:r>
              <w:rPr>
                <w:rFonts w:hint="eastAsia"/>
                <w:sz w:val="22"/>
              </w:rPr>
              <w:t>989-6188</w:t>
            </w:r>
          </w:p>
          <w:p>
            <w:pPr>
              <w:pStyle w:val="0"/>
              <w:rPr>
                <w:rFonts w:hint="default"/>
                <w:sz w:val="22"/>
              </w:rPr>
            </w:pPr>
            <w:r>
              <w:rPr>
                <w:rFonts w:hint="eastAsia"/>
                <w:sz w:val="22"/>
              </w:rPr>
              <w:t>大崎市古川七日町</w:t>
            </w:r>
            <w:r>
              <w:rPr>
                <w:rFonts w:hint="eastAsia"/>
                <w:sz w:val="22"/>
              </w:rPr>
              <w:t>1</w:t>
            </w:r>
            <w:r>
              <w:rPr>
                <w:rFonts w:hint="eastAsia"/>
                <w:sz w:val="22"/>
              </w:rPr>
              <w:t>番</w:t>
            </w:r>
            <w:r>
              <w:rPr>
                <w:rFonts w:hint="eastAsia"/>
                <w:sz w:val="22"/>
              </w:rPr>
              <w:t>1</w:t>
            </w:r>
            <w:r>
              <w:rPr>
                <w:rFonts w:hint="eastAsia"/>
                <w:sz w:val="22"/>
              </w:rPr>
              <w:t>号</w:t>
            </w:r>
          </w:p>
        </w:tc>
      </w:tr>
      <w:tr>
        <w:trPr>
          <w:cantSplit/>
          <w:trHeight w:val="279" w:hRule="atLeast"/>
        </w:trPr>
        <w:tc>
          <w:tcPr>
            <w:tcW w:w="1418" w:type="dxa"/>
            <w:vAlign w:val="center"/>
          </w:tcPr>
          <w:p>
            <w:pPr>
              <w:pStyle w:val="0"/>
              <w:rPr>
                <w:rFonts w:hint="default"/>
                <w:sz w:val="22"/>
              </w:rPr>
            </w:pPr>
            <w:r>
              <w:rPr>
                <w:rFonts w:hint="eastAsia"/>
                <w:sz w:val="22"/>
              </w:rPr>
              <w:t>工事担当課</w:t>
            </w:r>
          </w:p>
        </w:tc>
        <w:tc>
          <w:tcPr>
            <w:tcW w:w="2835" w:type="dxa"/>
            <w:vAlign w:val="center"/>
          </w:tcPr>
          <w:p>
            <w:pPr>
              <w:pStyle w:val="0"/>
              <w:rPr>
                <w:rFonts w:hint="default"/>
                <w:sz w:val="22"/>
                <w:highlight w:val="none"/>
              </w:rPr>
            </w:pPr>
            <w:r>
              <w:rPr>
                <w:rFonts w:hint="eastAsia"/>
                <w:sz w:val="22"/>
                <w:highlight w:val="none"/>
              </w:rPr>
              <w:t>大崎市鳴子総合支所</w:t>
            </w:r>
          </w:p>
          <w:p>
            <w:pPr>
              <w:pStyle w:val="0"/>
              <w:rPr>
                <w:rFonts w:hint="default"/>
                <w:sz w:val="22"/>
                <w:highlight w:val="none"/>
              </w:rPr>
            </w:pPr>
            <w:r>
              <w:rPr>
                <w:rFonts w:hint="eastAsia"/>
                <w:sz w:val="22"/>
                <w:highlight w:val="none"/>
              </w:rPr>
              <w:t>地域振興課</w:t>
            </w:r>
          </w:p>
        </w:tc>
        <w:tc>
          <w:tcPr>
            <w:tcW w:w="1701" w:type="dxa"/>
            <w:vAlign w:val="center"/>
          </w:tcPr>
          <w:p>
            <w:pPr>
              <w:pStyle w:val="0"/>
              <w:rPr>
                <w:rFonts w:hint="default"/>
                <w:color w:val="FF0000"/>
                <w:sz w:val="22"/>
                <w:highlight w:val="none"/>
              </w:rPr>
            </w:pPr>
            <w:r>
              <w:rPr>
                <w:rFonts w:hint="eastAsia"/>
                <w:sz w:val="22"/>
                <w:highlight w:val="none"/>
              </w:rPr>
              <w:t>0229-82</w:t>
            </w:r>
            <w:r>
              <w:rPr>
                <w:rFonts w:hint="default"/>
                <w:sz w:val="22"/>
                <w:highlight w:val="none"/>
              </w:rPr>
              <w:t>-</w:t>
            </w:r>
            <w:r>
              <w:rPr>
                <w:rFonts w:hint="eastAsia"/>
                <w:sz w:val="22"/>
                <w:highlight w:val="none"/>
              </w:rPr>
              <w:t>2111</w:t>
            </w:r>
          </w:p>
        </w:tc>
        <w:tc>
          <w:tcPr>
            <w:tcW w:w="3969" w:type="dxa"/>
            <w:shd w:val="clear" w:color="auto" w:fill="auto"/>
            <w:vAlign w:val="center"/>
          </w:tcPr>
          <w:p>
            <w:pPr>
              <w:pStyle w:val="0"/>
              <w:rPr>
                <w:rFonts w:hint="default"/>
                <w:sz w:val="22"/>
                <w:highlight w:val="none"/>
              </w:rPr>
            </w:pPr>
            <w:r>
              <w:rPr>
                <w:rFonts w:hint="eastAsia"/>
                <w:sz w:val="22"/>
                <w:highlight w:val="none"/>
              </w:rPr>
              <w:t>〒</w:t>
            </w:r>
            <w:r>
              <w:rPr>
                <w:rFonts w:hint="eastAsia"/>
                <w:sz w:val="22"/>
                <w:highlight w:val="none"/>
              </w:rPr>
              <w:t>989-6892</w:t>
            </w:r>
          </w:p>
          <w:p>
            <w:pPr>
              <w:pStyle w:val="0"/>
              <w:rPr>
                <w:rFonts w:hint="default"/>
                <w:sz w:val="22"/>
                <w:highlight w:val="none"/>
              </w:rPr>
            </w:pPr>
            <w:r>
              <w:rPr>
                <w:rFonts w:hint="eastAsia"/>
                <w:sz w:val="22"/>
                <w:highlight w:val="none"/>
              </w:rPr>
              <w:t>大崎市鳴子温泉字鷲ノ巣</w:t>
            </w:r>
            <w:r>
              <w:rPr>
                <w:rFonts w:hint="eastAsia"/>
                <w:sz w:val="22"/>
                <w:highlight w:val="none"/>
              </w:rPr>
              <w:t>86</w:t>
            </w:r>
            <w:r>
              <w:rPr>
                <w:rFonts w:hint="eastAsia"/>
                <w:sz w:val="22"/>
                <w:highlight w:val="none"/>
              </w:rPr>
              <w:t>番地</w:t>
            </w:r>
            <w:r>
              <w:rPr>
                <w:rFonts w:hint="eastAsia"/>
                <w:sz w:val="22"/>
                <w:highlight w:val="none"/>
              </w:rPr>
              <w:t>1</w:t>
            </w:r>
          </w:p>
        </w:tc>
      </w:tr>
    </w:tbl>
    <w:p>
      <w:pPr>
        <w:pStyle w:val="0"/>
        <w:kinsoku w:val="0"/>
        <w:wordWrap w:val="0"/>
        <w:spacing w:line="358" w:lineRule="exact"/>
        <w:rPr>
          <w:rFonts w:hint="default" w:asciiTheme="minorEastAsia" w:hAnsiTheme="minorEastAsia" w:eastAsiaTheme="minorEastAsia"/>
          <w:color w:val="000000"/>
          <w:sz w:val="22"/>
        </w:rPr>
      </w:pPr>
    </w:p>
    <w:p>
      <w:pPr>
        <w:pStyle w:val="0"/>
        <w:kinsoku w:val="0"/>
        <w:wordWrap w:val="0"/>
        <w:spacing w:line="358" w:lineRule="exact"/>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６　入札日程</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02"/>
        <w:gridCol w:w="3827"/>
        <w:gridCol w:w="4394"/>
      </w:tblGrid>
      <w:tr>
        <w:trPr/>
        <w:tc>
          <w:tcPr>
            <w:tcW w:w="1702" w:type="dxa"/>
            <w:vAlign w:val="top"/>
          </w:tcPr>
          <w:p>
            <w:pPr>
              <w:pStyle w:val="0"/>
              <w:kinsoku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手続等</w:t>
            </w:r>
          </w:p>
        </w:tc>
        <w:tc>
          <w:tcPr>
            <w:tcW w:w="3827" w:type="dxa"/>
            <w:vAlign w:val="top"/>
          </w:tcPr>
          <w:p>
            <w:pPr>
              <w:pStyle w:val="0"/>
              <w:kinsoku w:val="0"/>
              <w:wordWrap w:val="0"/>
              <w:spacing w:line="358" w:lineRule="exact"/>
              <w:jc w:val="center"/>
              <w:rPr>
                <w:rFonts w:hint="default" w:asciiTheme="minorEastAsia" w:hAnsiTheme="minorEastAsia" w:eastAsiaTheme="minorEastAsia"/>
                <w:color w:val="000000"/>
                <w:sz w:val="22"/>
                <w:highlight w:val="none"/>
              </w:rPr>
            </w:pPr>
            <w:r>
              <w:rPr>
                <w:rFonts w:hint="eastAsia" w:asciiTheme="minorEastAsia" w:hAnsiTheme="minorEastAsia" w:eastAsiaTheme="minorEastAsia"/>
                <w:color w:val="000000"/>
                <w:sz w:val="22"/>
                <w:highlight w:val="none"/>
              </w:rPr>
              <w:t>期間･期日･期限</w:t>
            </w:r>
          </w:p>
        </w:tc>
        <w:tc>
          <w:tcPr>
            <w:tcW w:w="4394"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場所</w:t>
            </w:r>
          </w:p>
        </w:tc>
      </w:tr>
      <w:tr>
        <w:trPr>
          <w:trHeight w:val="877" w:hRule="atLeast"/>
        </w:trPr>
        <w:tc>
          <w:tcPr>
            <w:tcW w:w="1702" w:type="dxa"/>
            <w:vAlign w:val="top"/>
          </w:tcPr>
          <w:p>
            <w:pPr>
              <w:pStyle w:val="0"/>
              <w:rPr>
                <w:rFonts w:hint="default"/>
                <w:sz w:val="22"/>
              </w:rPr>
            </w:pPr>
            <w:r>
              <w:rPr>
                <w:rFonts w:hint="eastAsia"/>
                <w:sz w:val="22"/>
              </w:rPr>
              <w:t>設計図書等</w:t>
            </w:r>
          </w:p>
          <w:p>
            <w:pPr>
              <w:pStyle w:val="0"/>
              <w:rPr>
                <w:rFonts w:hint="default"/>
                <w:sz w:val="22"/>
              </w:rPr>
            </w:pPr>
            <w:r>
              <w:rPr>
                <w:rFonts w:hint="eastAsia"/>
                <w:sz w:val="22"/>
              </w:rPr>
              <w:t>の閲覧</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8</w:t>
            </w:r>
            <w:r>
              <w:rPr>
                <w:rFonts w:hint="eastAsia"/>
                <w:sz w:val="22"/>
                <w:highlight w:val="none"/>
              </w:rPr>
              <w:t>月</w:t>
            </w:r>
            <w:r>
              <w:rPr>
                <w:rFonts w:hint="eastAsia"/>
                <w:sz w:val="22"/>
                <w:highlight w:val="none"/>
              </w:rPr>
              <w:t>28</w:t>
            </w:r>
            <w:r>
              <w:rPr>
                <w:rFonts w:hint="eastAsia"/>
                <w:sz w:val="22"/>
                <w:highlight w:val="none"/>
              </w:rPr>
              <w:t>日（木）</w:t>
            </w:r>
            <w:r>
              <w:rPr>
                <w:rFonts w:hint="default"/>
                <w:sz w:val="22"/>
                <w:highlight w:val="none"/>
              </w:rPr>
              <w:t>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18</w:t>
            </w:r>
            <w:r>
              <w:rPr>
                <w:rFonts w:hint="eastAsia"/>
                <w:sz w:val="22"/>
                <w:highlight w:val="none"/>
              </w:rPr>
              <w:t>日（木）</w:t>
            </w:r>
            <w:r>
              <w:rPr>
                <w:rFonts w:hint="default"/>
                <w:sz w:val="22"/>
                <w:highlight w:val="none"/>
              </w:rPr>
              <w:t>までの</w:t>
            </w:r>
          </w:p>
          <w:p>
            <w:pPr>
              <w:pStyle w:val="0"/>
              <w:rPr>
                <w:rFonts w:hint="default"/>
                <w:sz w:val="22"/>
                <w:highlight w:val="none"/>
              </w:rPr>
            </w:pPr>
            <w:r>
              <w:rPr>
                <w:rFonts w:hint="eastAsia"/>
                <w:sz w:val="22"/>
                <w:highlight w:val="none"/>
              </w:rPr>
              <w:t>午前</w:t>
            </w:r>
            <w:r>
              <w:rPr>
                <w:rFonts w:hint="eastAsia"/>
                <w:sz w:val="22"/>
                <w:highlight w:val="none"/>
              </w:rPr>
              <w:t xml:space="preserve"> 9</w:t>
            </w:r>
            <w:r>
              <w:rPr>
                <w:rFonts w:hint="default"/>
                <w:sz w:val="22"/>
                <w:highlight w:val="none"/>
              </w:rPr>
              <w:t>時から午後</w:t>
            </w:r>
            <w:r>
              <w:rPr>
                <w:rFonts w:hint="eastAsia"/>
                <w:sz w:val="22"/>
                <w:highlight w:val="none"/>
              </w:rPr>
              <w:t xml:space="preserve"> </w:t>
            </w:r>
            <w:r>
              <w:rPr>
                <w:rFonts w:hint="default"/>
                <w:sz w:val="22"/>
                <w:highlight w:val="none"/>
              </w:rPr>
              <w:t>4</w:t>
            </w:r>
            <w:r>
              <w:rPr>
                <w:rFonts w:hint="default"/>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r>
        <w:trPr>
          <w:trHeight w:val="740" w:hRule="atLeast"/>
        </w:trPr>
        <w:tc>
          <w:tcPr>
            <w:tcW w:w="1702" w:type="dxa"/>
            <w:vAlign w:val="top"/>
          </w:tcPr>
          <w:p>
            <w:pPr>
              <w:pStyle w:val="0"/>
              <w:rPr>
                <w:rFonts w:hint="default"/>
                <w:sz w:val="22"/>
              </w:rPr>
            </w:pPr>
            <w:r>
              <w:rPr>
                <w:rFonts w:hint="eastAsia"/>
                <w:sz w:val="22"/>
              </w:rPr>
              <w:t>質問の受付</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8</w:t>
            </w:r>
            <w:r>
              <w:rPr>
                <w:rFonts w:hint="eastAsia"/>
                <w:sz w:val="22"/>
                <w:highlight w:val="none"/>
              </w:rPr>
              <w:t>月</w:t>
            </w:r>
            <w:r>
              <w:rPr>
                <w:rFonts w:hint="eastAsia"/>
                <w:sz w:val="22"/>
                <w:highlight w:val="none"/>
              </w:rPr>
              <w:t>28</w:t>
            </w:r>
            <w:r>
              <w:rPr>
                <w:rFonts w:hint="eastAsia"/>
                <w:sz w:val="22"/>
                <w:highlight w:val="none"/>
              </w:rPr>
              <w:t>日（木）</w:t>
            </w:r>
            <w:r>
              <w:rPr>
                <w:rFonts w:hint="default"/>
                <w:sz w:val="22"/>
                <w:highlight w:val="none"/>
              </w:rPr>
              <w:t>午前</w:t>
            </w:r>
            <w:r>
              <w:rPr>
                <w:rFonts w:hint="default"/>
                <w:sz w:val="22"/>
                <w:highlight w:val="none"/>
              </w:rPr>
              <w:t>9</w:t>
            </w:r>
            <w:r>
              <w:rPr>
                <w:rFonts w:hint="default"/>
                <w:sz w:val="22"/>
                <w:highlight w:val="none"/>
              </w:rPr>
              <w:t>時から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 xml:space="preserve"> 4</w:t>
            </w:r>
            <w:r>
              <w:rPr>
                <w:rFonts w:hint="eastAsia"/>
                <w:sz w:val="22"/>
                <w:highlight w:val="none"/>
              </w:rPr>
              <w:t>日（木）</w:t>
            </w:r>
            <w:r>
              <w:rPr>
                <w:rFonts w:hint="default"/>
                <w:sz w:val="22"/>
                <w:highlight w:val="none"/>
              </w:rPr>
              <w:t>午後</w:t>
            </w:r>
            <w:r>
              <w:rPr>
                <w:rFonts w:hint="default"/>
                <w:sz w:val="22"/>
                <w:highlight w:val="none"/>
              </w:rPr>
              <w:t>4</w:t>
            </w:r>
            <w:r>
              <w:rPr>
                <w:rFonts w:hint="default"/>
                <w:sz w:val="22"/>
                <w:highlight w:val="none"/>
              </w:rPr>
              <w:t>時</w:t>
            </w:r>
            <w:r>
              <w:rPr>
                <w:rFonts w:hint="eastAsia"/>
                <w:sz w:val="22"/>
                <w:highlight w:val="none"/>
              </w:rPr>
              <w:t>ま</w:t>
            </w:r>
            <w:r>
              <w:rPr>
                <w:rFonts w:hint="default"/>
                <w:sz w:val="22"/>
                <w:highlight w:val="none"/>
              </w:rPr>
              <w:t>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大崎市役所本庁舎４階　財政課</w:t>
            </w:r>
          </w:p>
        </w:tc>
      </w:tr>
      <w:tr>
        <w:trPr>
          <w:trHeight w:val="992" w:hRule="atLeast"/>
        </w:trPr>
        <w:tc>
          <w:tcPr>
            <w:tcW w:w="1702" w:type="dxa"/>
            <w:vAlign w:val="top"/>
          </w:tcPr>
          <w:p>
            <w:pPr>
              <w:pStyle w:val="0"/>
              <w:rPr>
                <w:rFonts w:hint="default"/>
                <w:sz w:val="22"/>
              </w:rPr>
            </w:pPr>
            <w:r>
              <w:rPr>
                <w:rFonts w:hint="eastAsia"/>
                <w:sz w:val="22"/>
              </w:rPr>
              <w:t>質問の回答</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 xml:space="preserve"> 8</w:t>
            </w:r>
            <w:r>
              <w:rPr>
                <w:rFonts w:hint="eastAsia"/>
                <w:sz w:val="22"/>
                <w:highlight w:val="none"/>
              </w:rPr>
              <w:t>日（月）</w:t>
            </w:r>
            <w:r>
              <w:rPr>
                <w:rFonts w:hint="default"/>
                <w:sz w:val="22"/>
                <w:highlight w:val="none"/>
              </w:rPr>
              <w:t>午後</w:t>
            </w:r>
            <w:r>
              <w:rPr>
                <w:rFonts w:hint="default"/>
                <w:sz w:val="22"/>
                <w:highlight w:val="none"/>
              </w:rPr>
              <w:t>4</w:t>
            </w:r>
            <w:r>
              <w:rPr>
                <w:rFonts w:hint="default"/>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w:t>
            </w:r>
            <w:r>
              <w:rPr>
                <w:rFonts w:hint="default"/>
                <w:sz w:val="22"/>
                <w:highlight w:val="none"/>
              </w:rPr>
              <w:t>市政情報センター</w:t>
            </w:r>
          </w:p>
          <w:p>
            <w:pPr>
              <w:pStyle w:val="0"/>
              <w:rPr>
                <w:rFonts w:hint="default"/>
                <w:sz w:val="22"/>
              </w:rPr>
            </w:pPr>
            <w:r>
              <w:rPr>
                <w:rFonts w:hint="eastAsia"/>
                <w:sz w:val="22"/>
              </w:rPr>
              <w:t>及び大崎市公式ウェブサイト</w:t>
            </w:r>
          </w:p>
        </w:tc>
      </w:tr>
      <w:tr>
        <w:trPr>
          <w:trHeight w:val="1164" w:hRule="atLeast"/>
        </w:trPr>
        <w:tc>
          <w:tcPr>
            <w:tcW w:w="1702" w:type="dxa"/>
            <w:vAlign w:val="top"/>
          </w:tcPr>
          <w:p>
            <w:pPr>
              <w:pStyle w:val="0"/>
              <w:rPr>
                <w:rFonts w:hint="default"/>
                <w:sz w:val="22"/>
              </w:rPr>
            </w:pPr>
            <w:r>
              <w:rPr>
                <w:rFonts w:hint="eastAsia"/>
                <w:sz w:val="22"/>
              </w:rPr>
              <w:t>入札書の</w:t>
            </w:r>
          </w:p>
          <w:p>
            <w:pPr>
              <w:pStyle w:val="0"/>
              <w:rPr>
                <w:rFonts w:hint="default"/>
                <w:sz w:val="22"/>
              </w:rPr>
            </w:pPr>
            <w:r>
              <w:rPr>
                <w:rFonts w:hint="eastAsia"/>
                <w:sz w:val="22"/>
              </w:rPr>
              <w:t>受付締切</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19</w:t>
            </w:r>
            <w:r>
              <w:rPr>
                <w:rFonts w:hint="eastAsia"/>
                <w:sz w:val="22"/>
                <w:highlight w:val="none"/>
              </w:rPr>
              <w:t>日（金</w:t>
            </w:r>
            <w:bookmarkStart w:id="0" w:name="_GoBack"/>
            <w:bookmarkEnd w:id="0"/>
            <w:r>
              <w:rPr>
                <w:rFonts w:hint="eastAsia"/>
                <w:sz w:val="22"/>
                <w:highlight w:val="none"/>
              </w:rPr>
              <w:t>）</w:t>
            </w:r>
          </w:p>
          <w:p>
            <w:pPr>
              <w:pStyle w:val="0"/>
              <w:rPr>
                <w:rFonts w:hint="default"/>
                <w:b w:val="1"/>
                <w:sz w:val="22"/>
                <w:highlight w:val="none"/>
                <w:u w:val="double" w:color="auto"/>
              </w:rPr>
            </w:pPr>
            <w:r>
              <w:rPr>
                <w:rFonts w:hint="default"/>
                <w:b w:val="1"/>
                <w:sz w:val="22"/>
                <w:highlight w:val="none"/>
                <w:u w:val="double" w:color="auto"/>
              </w:rPr>
              <w:t>(</w:t>
            </w:r>
            <w:r>
              <w:rPr>
                <w:rFonts w:hint="default"/>
                <w:b w:val="1"/>
                <w:sz w:val="22"/>
                <w:highlight w:val="none"/>
                <w:u w:val="double" w:color="auto"/>
              </w:rPr>
              <w:t>同日まで到達した者のみ有効。配達証明付郵便に限る</w:t>
            </w:r>
            <w:r>
              <w:rPr>
                <w:rFonts w:hint="default"/>
                <w:b w:val="1"/>
                <w:sz w:val="22"/>
                <w:highlight w:val="none"/>
                <w:u w:val="double" w:color="auto"/>
              </w:rPr>
              <w:t>)</w:t>
            </w:r>
          </w:p>
        </w:tc>
        <w:tc>
          <w:tcPr>
            <w:tcW w:w="4394" w:type="dxa"/>
            <w:vAlign w:val="top"/>
          </w:tcPr>
          <w:p>
            <w:pPr>
              <w:pStyle w:val="0"/>
              <w:rPr>
                <w:rFonts w:hint="default"/>
                <w:sz w:val="22"/>
              </w:rPr>
            </w:pPr>
            <w:r>
              <w:rPr>
                <w:rFonts w:hint="eastAsia"/>
                <w:sz w:val="22"/>
              </w:rPr>
              <w:t>郵送先〒</w:t>
            </w:r>
            <w:r>
              <w:rPr>
                <w:rFonts w:hint="eastAsia"/>
                <w:sz w:val="22"/>
              </w:rPr>
              <w:t>989-6188</w:t>
            </w:r>
          </w:p>
          <w:p>
            <w:pPr>
              <w:pStyle w:val="0"/>
              <w:rPr>
                <w:rFonts w:hint="default"/>
                <w:sz w:val="22"/>
              </w:rPr>
            </w:pPr>
            <w:r>
              <w:rPr>
                <w:rFonts w:hint="eastAsia"/>
                <w:sz w:val="22"/>
              </w:rPr>
              <w:t>大崎市古川七日町１番１号</w:t>
            </w:r>
          </w:p>
          <w:p>
            <w:pPr>
              <w:pStyle w:val="0"/>
              <w:rPr>
                <w:rFonts w:hint="default"/>
                <w:sz w:val="22"/>
              </w:rPr>
            </w:pPr>
            <w:r>
              <w:rPr>
                <w:rFonts w:hint="eastAsia"/>
                <w:sz w:val="22"/>
              </w:rPr>
              <w:t>大崎市総務部財政課</w:t>
            </w:r>
          </w:p>
        </w:tc>
      </w:tr>
      <w:tr>
        <w:trPr>
          <w:trHeight w:val="712" w:hRule="atLeast"/>
        </w:trPr>
        <w:tc>
          <w:tcPr>
            <w:tcW w:w="1702" w:type="dxa"/>
            <w:vAlign w:val="top"/>
          </w:tcPr>
          <w:p>
            <w:pPr>
              <w:pStyle w:val="0"/>
              <w:rPr>
                <w:rFonts w:hint="default"/>
                <w:sz w:val="22"/>
              </w:rPr>
            </w:pPr>
            <w:r>
              <w:rPr>
                <w:rFonts w:hint="eastAsia"/>
                <w:sz w:val="22"/>
              </w:rPr>
              <w:t>開札</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24</w:t>
            </w:r>
            <w:r>
              <w:rPr>
                <w:rFonts w:hint="eastAsia"/>
                <w:sz w:val="22"/>
                <w:highlight w:val="none"/>
              </w:rPr>
              <w:t>日（水）</w:t>
            </w:r>
          </w:p>
          <w:p>
            <w:pPr>
              <w:pStyle w:val="0"/>
              <w:rPr>
                <w:rFonts w:hint="default"/>
                <w:sz w:val="22"/>
                <w:highlight w:val="none"/>
              </w:rPr>
            </w:pPr>
            <w:r>
              <w:rPr>
                <w:rFonts w:hint="eastAsia"/>
                <w:sz w:val="22"/>
                <w:highlight w:val="none"/>
              </w:rPr>
              <w:t>午前</w:t>
            </w:r>
            <w:r>
              <w:rPr>
                <w:rFonts w:hint="eastAsia"/>
                <w:sz w:val="22"/>
                <w:highlight w:val="none"/>
              </w:rPr>
              <w:t>9</w:t>
            </w:r>
            <w:r>
              <w:rPr>
                <w:rFonts w:hint="eastAsia"/>
                <w:sz w:val="22"/>
                <w:highlight w:val="none"/>
              </w:rPr>
              <w:t>時</w:t>
            </w:r>
            <w:r>
              <w:rPr>
                <w:rFonts w:hint="eastAsia"/>
                <w:sz w:val="22"/>
                <w:highlight w:val="none"/>
              </w:rPr>
              <w:t>50</w:t>
            </w:r>
            <w:r>
              <w:rPr>
                <w:rFonts w:hint="eastAsia"/>
                <w:sz w:val="22"/>
                <w:highlight w:val="none"/>
              </w:rPr>
              <w:t>分</w:t>
            </w:r>
            <w:r>
              <w:rPr>
                <w:rFonts w:hint="default"/>
                <w:sz w:val="22"/>
                <w:highlight w:val="none"/>
              </w:rPr>
              <w:t>から</w:t>
            </w:r>
          </w:p>
        </w:tc>
        <w:tc>
          <w:tcPr>
            <w:tcW w:w="4394" w:type="dxa"/>
            <w:vAlign w:val="top"/>
          </w:tcPr>
          <w:p>
            <w:pPr>
              <w:pStyle w:val="0"/>
              <w:rPr>
                <w:rFonts w:hint="default" w:asciiTheme="minorEastAsia" w:hAnsiTheme="minorEastAsia" w:eastAsiaTheme="minorEastAsia"/>
                <w:sz w:val="22"/>
                <w:highlight w:val="none"/>
              </w:rPr>
            </w:pPr>
            <w:r>
              <w:rPr>
                <w:rFonts w:hint="eastAsia"/>
                <w:sz w:val="22"/>
              </w:rPr>
              <w:t>大崎市古川七日町１番１号</w:t>
            </w:r>
          </w:p>
          <w:p>
            <w:pPr>
              <w:pStyle w:val="0"/>
              <w:rPr>
                <w:rFonts w:hint="default" w:asciiTheme="minorEastAsia" w:hAnsiTheme="minorEastAsia" w:eastAsiaTheme="minorEastAsia"/>
                <w:sz w:val="22"/>
              </w:rPr>
            </w:pPr>
            <w:r>
              <w:rPr>
                <w:rFonts w:hint="eastAsia"/>
                <w:sz w:val="22"/>
                <w:highlight w:val="none"/>
              </w:rPr>
              <w:t>大崎市役所本庁舎</w:t>
            </w:r>
            <w:r>
              <w:rPr>
                <w:rFonts w:hint="eastAsia"/>
                <w:sz w:val="22"/>
                <w:highlight w:val="none"/>
              </w:rPr>
              <w:t>3</w:t>
            </w:r>
            <w:r>
              <w:rPr>
                <w:rFonts w:hint="eastAsia"/>
                <w:sz w:val="22"/>
                <w:highlight w:val="none"/>
              </w:rPr>
              <w:t>階</w:t>
            </w:r>
            <w:r>
              <w:rPr>
                <w:rFonts w:hint="eastAsia"/>
                <w:sz w:val="22"/>
              </w:rPr>
              <w:t>301</w:t>
            </w:r>
            <w:r>
              <w:rPr>
                <w:rFonts w:hint="eastAsia"/>
                <w:sz w:val="22"/>
              </w:rPr>
              <w:t>会議室</w:t>
            </w:r>
          </w:p>
        </w:tc>
      </w:tr>
      <w:tr>
        <w:trPr>
          <w:trHeight w:val="563" w:hRule="atLeast"/>
        </w:trPr>
        <w:tc>
          <w:tcPr>
            <w:tcW w:w="1702" w:type="dxa"/>
            <w:vAlign w:val="top"/>
          </w:tcPr>
          <w:p>
            <w:pPr>
              <w:pStyle w:val="0"/>
              <w:rPr>
                <w:rFonts w:hint="default"/>
                <w:sz w:val="22"/>
              </w:rPr>
            </w:pPr>
            <w:r>
              <w:rPr>
                <w:rFonts w:hint="eastAsia"/>
                <w:sz w:val="22"/>
              </w:rPr>
              <w:t>入札結果</w:t>
            </w:r>
          </w:p>
          <w:p>
            <w:pPr>
              <w:pStyle w:val="0"/>
              <w:rPr>
                <w:rFonts w:hint="default"/>
                <w:sz w:val="22"/>
              </w:rPr>
            </w:pPr>
            <w:r>
              <w:rPr>
                <w:rFonts w:hint="eastAsia"/>
                <w:sz w:val="22"/>
              </w:rPr>
              <w:t>の公表</w:t>
            </w:r>
          </w:p>
        </w:tc>
        <w:tc>
          <w:tcPr>
            <w:tcW w:w="3827" w:type="dxa"/>
            <w:vAlign w:val="top"/>
          </w:tcPr>
          <w:p>
            <w:pPr>
              <w:pStyle w:val="0"/>
              <w:rPr>
                <w:rFonts w:hint="default"/>
                <w:sz w:val="22"/>
                <w:highlight w:val="none"/>
              </w:rPr>
            </w:pPr>
            <w:r>
              <w:rPr>
                <w:rFonts w:hint="eastAsia"/>
                <w:sz w:val="22"/>
                <w:highlight w:val="none"/>
              </w:rPr>
              <w:t>落札決定後に公表</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bl>
    <w:p>
      <w:pPr>
        <w:pStyle w:val="0"/>
        <w:kinsoku w:val="0"/>
        <w:wordWrap w:val="0"/>
        <w:spacing w:line="358" w:lineRule="exact"/>
        <w:ind w:left="718" w:leftChars="50" w:hanging="620" w:hangingChars="286"/>
        <w:rPr>
          <w:rFonts w:hint="default" w:asciiTheme="minorEastAsia" w:hAnsiTheme="minorEastAsia" w:eastAsiaTheme="minorEastAsia"/>
          <w:sz w:val="22"/>
        </w:rPr>
      </w:pPr>
      <w:r>
        <w:rPr>
          <w:rFonts w:hint="eastAsia" w:asciiTheme="minorEastAsia" w:hAnsiTheme="minorEastAsia" w:eastAsiaTheme="minorEastAsia"/>
          <w:sz w:val="22"/>
        </w:rPr>
        <w:t>（注１）上記の期間は，土曜日，日曜日，国民の祝日に関する法律（昭和２３年法律第１７８号）に規定する休日を除く。</w:t>
      </w:r>
    </w:p>
    <w:p>
      <w:pPr>
        <w:pStyle w:val="0"/>
        <w:kinsoku w:val="0"/>
        <w:wordWrap w:val="0"/>
        <w:spacing w:line="358" w:lineRule="exact"/>
        <w:ind w:left="98" w:leftChars="50"/>
        <w:rPr>
          <w:rFonts w:hint="default" w:asciiTheme="minorEastAsia" w:hAnsiTheme="minorEastAsia" w:eastAsiaTheme="minorEastAsia"/>
          <w:sz w:val="22"/>
        </w:rPr>
      </w:pPr>
      <w:r>
        <w:rPr>
          <w:rFonts w:hint="eastAsia" w:asciiTheme="minorEastAsia" w:hAnsiTheme="minorEastAsia" w:eastAsiaTheme="minorEastAsia"/>
          <w:sz w:val="22"/>
        </w:rPr>
        <w:t>（注２）設計図書等は，当該業務に係る注文書，図面及び契約条項をいう。</w:t>
      </w:r>
    </w:p>
    <w:p>
      <w:pPr>
        <w:pStyle w:val="0"/>
        <w:kinsoku w:val="0"/>
        <w:wordWrap w:val="0"/>
        <w:spacing w:line="358" w:lineRule="exact"/>
        <w:rPr>
          <w:rFonts w:hint="default" w:asciiTheme="minorEastAsia" w:hAnsiTheme="minorEastAsia" w:eastAsiaTheme="minorEastAsia"/>
          <w:sz w:val="22"/>
        </w:rPr>
      </w:pPr>
    </w:p>
    <w:p>
      <w:pPr>
        <w:pStyle w:val="0"/>
        <w:rPr>
          <w:rFonts w:hint="default"/>
          <w:sz w:val="22"/>
        </w:rPr>
      </w:pPr>
      <w:r>
        <w:rPr>
          <w:rFonts w:hint="eastAsia"/>
          <w:sz w:val="22"/>
        </w:rPr>
        <w:t>７　入札参加時の提出書類</w:t>
      </w:r>
    </w:p>
    <w:p>
      <w:pPr>
        <w:pStyle w:val="0"/>
        <w:ind w:left="241" w:leftChars="100" w:firstLine="221" w:firstLineChars="100"/>
        <w:rPr>
          <w:rFonts w:hint="default"/>
          <w:sz w:val="22"/>
        </w:rPr>
      </w:pPr>
      <w:r>
        <w:rPr>
          <w:rFonts w:hint="eastAsia"/>
          <w:sz w:val="22"/>
        </w:rPr>
        <w:t>入札参加を希望する者は，以下の書類を配達証明付郵便にて提出するものとする。</w:t>
      </w:r>
    </w:p>
    <w:p>
      <w:pPr>
        <w:pStyle w:val="0"/>
        <w:rPr>
          <w:rFonts w:hint="default"/>
          <w:sz w:val="22"/>
        </w:rPr>
      </w:pPr>
      <w:r>
        <w:rPr>
          <w:rFonts w:hint="eastAsia"/>
          <w:sz w:val="22"/>
        </w:rPr>
        <w:t>（１）入札書</w:t>
      </w:r>
    </w:p>
    <w:p>
      <w:pPr>
        <w:pStyle w:val="0"/>
        <w:rPr>
          <w:rFonts w:hint="default"/>
          <w:sz w:val="22"/>
        </w:rPr>
      </w:pPr>
      <w:r>
        <w:rPr>
          <w:rFonts w:hint="eastAsia"/>
          <w:sz w:val="22"/>
        </w:rPr>
        <w:t>（２）工事費内訳書</w:t>
      </w:r>
    </w:p>
    <w:p>
      <w:pPr>
        <w:pStyle w:val="0"/>
        <w:rPr>
          <w:rFonts w:hint="default"/>
          <w:sz w:val="22"/>
        </w:rPr>
      </w:pPr>
      <w:r>
        <w:rPr>
          <w:rFonts w:hint="eastAsia"/>
          <w:sz w:val="22"/>
        </w:rPr>
        <w:t>（３）大崎市総合評価方式・価格以外の総合評価技術資料（別記様式１）</w:t>
      </w:r>
    </w:p>
    <w:p>
      <w:pPr>
        <w:pStyle w:val="0"/>
        <w:rPr>
          <w:rFonts w:hint="default"/>
          <w:sz w:val="22"/>
        </w:rPr>
      </w:pPr>
      <w:r>
        <w:rPr>
          <w:rFonts w:hint="eastAsia"/>
          <w:sz w:val="22"/>
        </w:rPr>
        <w:t>（４）大崎市建設工事入札参加登録通知書の写し</w:t>
      </w:r>
    </w:p>
    <w:p>
      <w:pPr>
        <w:pStyle w:val="0"/>
        <w:rPr>
          <w:rFonts w:hint="default"/>
          <w:sz w:val="22"/>
        </w:rPr>
      </w:pPr>
      <w:r>
        <w:rPr>
          <w:rFonts w:hint="eastAsia"/>
          <w:sz w:val="22"/>
        </w:rPr>
        <w:t>（５）連絡担当者の名刺</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８　資格審査時の提出書類</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入札執行者から開札後入札参加資格確認書類の提出を求められた場合は，下記の書類を提出すること。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（１）配置技術者に関する調書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w:t>
      </w:r>
      <w:r>
        <w:rPr>
          <w:rFonts w:hint="default" w:asciiTheme="minorEastAsia" w:hAnsiTheme="minorEastAsia" w:eastAsiaTheme="minorEastAsia"/>
          <w:sz w:val="22"/>
        </w:rPr>
        <w:t>配置技術者の資格者証の写し</w:t>
      </w:r>
      <w:r>
        <w:rPr>
          <w:rFonts w:hint="eastAsia" w:asciiTheme="minorEastAsia" w:hAnsiTheme="minorEastAsia" w:eastAsiaTheme="minorEastAsia"/>
          <w:sz w:val="22"/>
        </w:rPr>
        <w:t>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（３）配置技術者との雇用関係が確認できる書類　　　　　　　　　　　　　</w:t>
      </w:r>
      <w:r>
        <w:rPr>
          <w:rFonts w:hint="default" w:asciiTheme="minorEastAsia" w:hAnsiTheme="minorEastAsia" w:eastAsiaTheme="minorEastAsia"/>
          <w:sz w:val="22"/>
        </w:rPr>
        <w:t>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（４）大崎市建設工事入札参加登録通知書の写し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（５）その他入札執行者が入札参加資格確認のため必要と認めた書類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（６）委任状（代表者以外の者が，上記の書類を提出する場合）　　　　　　１部</w:t>
      </w:r>
    </w:p>
    <w:p>
      <w:pPr>
        <w:pStyle w:val="0"/>
        <w:kinsoku w:val="0"/>
        <w:wordWrap w:val="0"/>
        <w:spacing w:line="358" w:lineRule="exact"/>
        <w:rPr>
          <w:rFonts w:hint="default" w:asciiTheme="minorEastAsia" w:hAnsiTheme="minorEastAsia" w:eastAsiaTheme="minorEastAsia"/>
          <w:sz w:val="22"/>
        </w:rPr>
      </w:pPr>
    </w:p>
    <w:p>
      <w:pPr>
        <w:pStyle w:val="0"/>
        <w:rPr>
          <w:rFonts w:hint="default"/>
          <w:sz w:val="22"/>
        </w:rPr>
      </w:pPr>
      <w:r>
        <w:rPr>
          <w:rFonts w:hint="eastAsia"/>
          <w:sz w:val="22"/>
        </w:rPr>
        <w:t>９　総合評価項目及び落札者決定基準</w:t>
      </w:r>
    </w:p>
    <w:p>
      <w:pPr>
        <w:pStyle w:val="0"/>
        <w:ind w:left="241" w:leftChars="100" w:firstLine="221" w:firstLineChars="100"/>
        <w:rPr>
          <w:rFonts w:hint="default"/>
          <w:sz w:val="22"/>
        </w:rPr>
      </w:pPr>
      <w:r>
        <w:rPr>
          <w:rFonts w:hint="eastAsia"/>
          <w:sz w:val="22"/>
        </w:rPr>
        <w:t>総合評価落札方式における評価項目，評価内容及び評価基準並びに落札者決定基準は，「大崎市建設工事総合評価落札方式（特別簡易型）落札者決定基準」に示すとおりとする。</w:t>
      </w:r>
    </w:p>
    <w:p>
      <w:pPr>
        <w:pStyle w:val="0"/>
        <w:kinsoku w:val="0"/>
        <w:wordWrap w:val="0"/>
        <w:spacing w:line="358" w:lineRule="exact"/>
        <w:rPr>
          <w:rFonts w:hint="default" w:asciiTheme="minorEastAsia" w:hAnsiTheme="minorEastAsia" w:eastAsiaTheme="minorEastAsia"/>
          <w:sz w:val="22"/>
        </w:rPr>
      </w:pPr>
    </w:p>
    <w:p>
      <w:pPr>
        <w:pStyle w:val="0"/>
        <w:rPr>
          <w:rFonts w:hint="default"/>
          <w:sz w:val="22"/>
        </w:rPr>
      </w:pPr>
      <w:r>
        <w:rPr>
          <w:rFonts w:hint="eastAsia"/>
          <w:sz w:val="22"/>
        </w:rPr>
        <w:t>１０　総合評価に必要な提出書類</w:t>
      </w:r>
    </w:p>
    <w:p>
      <w:pPr>
        <w:pStyle w:val="0"/>
        <w:ind w:left="442" w:hanging="442" w:hangingChars="200"/>
        <w:rPr>
          <w:rFonts w:hint="default"/>
          <w:sz w:val="22"/>
        </w:rPr>
      </w:pPr>
      <w:r>
        <w:rPr>
          <w:rFonts w:hint="eastAsia"/>
          <w:sz w:val="22"/>
        </w:rPr>
        <w:t>（１）総合評価落札方式における価格以外の評価に必要な書類（以下「総合評価技術資料」という。）の提出を求める。なお，総合評価技術資料のうち別記様式１については　入札書等を郵送する際に同封することとし，それ以外の総合評価技術資料は落札候補者が決定した段階で，落札候補者から提出を求める。</w:t>
      </w:r>
    </w:p>
    <w:p>
      <w:pPr>
        <w:pStyle w:val="0"/>
        <w:ind w:left="442" w:hanging="442" w:hangingChars="200"/>
        <w:rPr>
          <w:rFonts w:hint="default"/>
          <w:sz w:val="22"/>
        </w:rPr>
      </w:pPr>
      <w:r>
        <w:rPr>
          <w:rFonts w:hint="eastAsia"/>
          <w:sz w:val="22"/>
        </w:rPr>
        <w:t>（２）総合評価技術資料は，入札参加の資格審査及び総合評価以外の目的に使用しない。（当該総合評価技術資料を提出した入札参加者の承認を得た場合を除く。）</w:t>
      </w:r>
    </w:p>
    <w:p>
      <w:pPr>
        <w:pStyle w:val="0"/>
        <w:ind w:left="442" w:hanging="442" w:hangingChars="200"/>
        <w:rPr>
          <w:rFonts w:hint="default"/>
          <w:sz w:val="22"/>
        </w:rPr>
      </w:pPr>
      <w:r>
        <w:rPr>
          <w:rFonts w:hint="eastAsia"/>
          <w:sz w:val="22"/>
        </w:rPr>
        <w:t>（３）総合評価技術資料は，返却しない。</w:t>
      </w:r>
    </w:p>
    <w:p>
      <w:pPr>
        <w:pStyle w:val="0"/>
        <w:ind w:left="442" w:hanging="442" w:hangingChars="200"/>
        <w:rPr>
          <w:rFonts w:hint="default"/>
          <w:sz w:val="22"/>
        </w:rPr>
      </w:pPr>
      <w:r>
        <w:rPr>
          <w:rFonts w:hint="eastAsia"/>
          <w:sz w:val="22"/>
        </w:rPr>
        <w:t>（４）総合評価技術資料は，公表しない。（情報公開条例に基づく，行政文書開示請求による開示を除く。）</w:t>
      </w:r>
    </w:p>
    <w:p>
      <w:pPr>
        <w:pStyle w:val="0"/>
        <w:ind w:left="442" w:hanging="442" w:hangingChars="200"/>
        <w:rPr>
          <w:rFonts w:hint="default"/>
          <w:sz w:val="22"/>
        </w:rPr>
      </w:pPr>
      <w:r>
        <w:rPr>
          <w:rFonts w:hint="eastAsia"/>
          <w:sz w:val="22"/>
        </w:rPr>
        <w:t>（５）既に提出した総合評価技術資料の訂正，差し換え及び再提出は認めない。</w:t>
      </w:r>
    </w:p>
    <w:p>
      <w:pPr>
        <w:pStyle w:val="0"/>
        <w:ind w:left="442" w:hanging="442" w:hangingChars="200"/>
        <w:rPr>
          <w:rFonts w:hint="default"/>
          <w:sz w:val="22"/>
        </w:rPr>
      </w:pPr>
      <w:r>
        <w:rPr>
          <w:rFonts w:hint="eastAsia"/>
          <w:sz w:val="22"/>
        </w:rPr>
        <w:t>（６）総合評価技術資料の提出が無いもの及び同資料に記載が無いものの入札は，無効とする。</w:t>
      </w:r>
    </w:p>
    <w:p>
      <w:pPr>
        <w:pStyle w:val="0"/>
        <w:ind w:left="442" w:hanging="442" w:hangingChars="200"/>
        <w:rPr>
          <w:rFonts w:hint="default"/>
          <w:sz w:val="22"/>
        </w:rPr>
      </w:pPr>
      <w:r>
        <w:rPr>
          <w:rFonts w:hint="eastAsia"/>
          <w:sz w:val="22"/>
        </w:rPr>
        <w:t>（７）総合評価技術資料の記載内容が不明又は確認の必要があると認められた場合には，配置予定の技術者に対してヒアリングを実施することがある。</w:t>
      </w:r>
    </w:p>
    <w:p>
      <w:pPr>
        <w:pStyle w:val="0"/>
        <w:ind w:left="442" w:hanging="442" w:hangingChars="200"/>
        <w:rPr>
          <w:rFonts w:hint="default"/>
          <w:sz w:val="22"/>
        </w:rPr>
      </w:pPr>
      <w:r>
        <w:rPr>
          <w:rFonts w:hint="eastAsia"/>
          <w:sz w:val="22"/>
        </w:rPr>
        <w:t>（８）提出を求める総合評価技術資料の作成に係る費用は，入札参加者の負担とする。</w:t>
      </w:r>
    </w:p>
    <w:p>
      <w:pPr>
        <w:pStyle w:val="0"/>
        <w:ind w:left="442" w:hanging="442" w:hangingChars="200"/>
        <w:rPr>
          <w:rFonts w:hint="default"/>
          <w:sz w:val="22"/>
        </w:rPr>
      </w:pPr>
    </w:p>
    <w:p>
      <w:pPr>
        <w:pStyle w:val="0"/>
        <w:rPr>
          <w:rFonts w:hint="default"/>
          <w:sz w:val="22"/>
        </w:rPr>
      </w:pPr>
      <w:r>
        <w:rPr>
          <w:rFonts w:hint="eastAsia"/>
          <w:sz w:val="22"/>
        </w:rPr>
        <w:t>１１　評価内容の履行の確保</w:t>
      </w:r>
    </w:p>
    <w:p>
      <w:pPr>
        <w:pStyle w:val="0"/>
        <w:ind w:left="241" w:leftChars="100" w:firstLine="221" w:firstLineChars="100"/>
        <w:rPr>
          <w:rFonts w:hint="default"/>
          <w:sz w:val="22"/>
        </w:rPr>
      </w:pPr>
      <w:r>
        <w:rPr>
          <w:rFonts w:hint="eastAsia"/>
          <w:sz w:val="22"/>
        </w:rPr>
        <w:t>総合評価技術資料で提出された内容は，その履行が確保できなかった場合，大崎市競争入札参加登録業者等指名停止要領の規定による措置の対象とする場合や，工事成績調書考査点において減点する場合がある。</w:t>
      </w:r>
    </w:p>
    <w:p>
      <w:pPr>
        <w:pStyle w:val="0"/>
        <w:rPr>
          <w:rFonts w:hint="default"/>
          <w:sz w:val="22"/>
        </w:rPr>
      </w:pPr>
    </w:p>
    <w:p>
      <w:pPr>
        <w:pStyle w:val="0"/>
        <w:rPr>
          <w:rFonts w:hint="default"/>
          <w:sz w:val="22"/>
        </w:rPr>
      </w:pPr>
      <w:r>
        <w:rPr>
          <w:rFonts w:hint="eastAsia"/>
          <w:sz w:val="22"/>
        </w:rPr>
        <w:t>１２　工事費内訳書の提出</w:t>
      </w:r>
    </w:p>
    <w:p>
      <w:pPr>
        <w:pStyle w:val="0"/>
        <w:ind w:left="241" w:leftChars="100" w:firstLine="221" w:firstLineChars="100"/>
        <w:rPr>
          <w:rFonts w:hint="default"/>
          <w:sz w:val="22"/>
        </w:rPr>
      </w:pPr>
      <w:r>
        <w:rPr>
          <w:rFonts w:hint="eastAsia"/>
          <w:sz w:val="22"/>
        </w:rPr>
        <w:t>開札時において入札書に記載されている入札金額に対応した工事費内訳書の提出を求める。</w:t>
      </w:r>
    </w:p>
    <w:p>
      <w:pPr>
        <w:pStyle w:val="0"/>
        <w:rPr>
          <w:rFonts w:hint="default"/>
          <w:sz w:val="22"/>
        </w:rPr>
      </w:pPr>
    </w:p>
    <w:p>
      <w:pPr>
        <w:pStyle w:val="0"/>
        <w:rPr>
          <w:rFonts w:hint="default"/>
          <w:sz w:val="22"/>
        </w:rPr>
      </w:pPr>
      <w:r>
        <w:rPr>
          <w:rFonts w:hint="eastAsia"/>
          <w:sz w:val="22"/>
        </w:rPr>
        <w:t>１３　設計図書の閲覧等</w:t>
      </w:r>
    </w:p>
    <w:p>
      <w:pPr>
        <w:pStyle w:val="0"/>
        <w:ind w:left="241" w:leftChars="100" w:firstLine="221" w:firstLineChars="100"/>
        <w:rPr>
          <w:rFonts w:hint="default"/>
          <w:sz w:val="22"/>
        </w:rPr>
      </w:pPr>
      <w:r>
        <w:rPr>
          <w:rFonts w:hint="eastAsia"/>
          <w:sz w:val="22"/>
        </w:rPr>
        <w:t>設計図書の閲覧の期間及び場所は，</w:t>
      </w:r>
      <w:r>
        <w:rPr>
          <w:rFonts w:hint="eastAsia"/>
          <w:sz w:val="22"/>
          <w:highlight w:val="none"/>
        </w:rPr>
        <w:t>６に示</w:t>
      </w:r>
      <w:r>
        <w:rPr>
          <w:rFonts w:hint="eastAsia"/>
          <w:sz w:val="22"/>
        </w:rPr>
        <w:t>すとおりとするが，以下の場所において有料で複写することもできる。（休日等を除く。）</w:t>
      </w:r>
    </w:p>
    <w:p>
      <w:pPr>
        <w:pStyle w:val="0"/>
        <w:ind w:left="241" w:leftChars="100" w:firstLine="221" w:firstLineChars="100"/>
        <w:rPr>
          <w:rFonts w:hint="default"/>
          <w:sz w:val="22"/>
        </w:rPr>
      </w:pPr>
      <w:r>
        <w:rPr>
          <w:rFonts w:hint="eastAsia"/>
          <w:sz w:val="22"/>
        </w:rPr>
        <w:t>（株）アート</w:t>
      </w:r>
    </w:p>
    <w:p>
      <w:pPr>
        <w:pStyle w:val="0"/>
        <w:ind w:left="241" w:leftChars="100" w:firstLine="221" w:firstLineChars="100"/>
        <w:rPr>
          <w:rFonts w:hint="default"/>
          <w:sz w:val="22"/>
        </w:rPr>
      </w:pPr>
      <w:r>
        <w:rPr>
          <w:rFonts w:hint="eastAsia"/>
          <w:sz w:val="22"/>
        </w:rPr>
        <w:t>大崎市古川字本鹿島２５６－１</w:t>
      </w:r>
    </w:p>
    <w:p>
      <w:pPr>
        <w:pStyle w:val="0"/>
        <w:ind w:left="241" w:leftChars="100" w:firstLine="221" w:firstLineChars="100"/>
        <w:rPr>
          <w:rFonts w:hint="default"/>
          <w:sz w:val="22"/>
        </w:rPr>
      </w:pPr>
      <w:r>
        <w:rPr>
          <w:rFonts w:hint="eastAsia"/>
          <w:sz w:val="22"/>
        </w:rPr>
        <w:t>電話</w:t>
      </w:r>
      <w:r>
        <w:rPr>
          <w:rFonts w:hint="default"/>
          <w:sz w:val="22"/>
        </w:rPr>
        <w:t>0229-22-2389</w:t>
      </w:r>
    </w:p>
    <w:p>
      <w:pPr>
        <w:pStyle w:val="0"/>
        <w:kinsoku w:val="0"/>
        <w:spacing w:line="358" w:lineRule="exact"/>
        <w:ind w:left="632" w:leftChars="100" w:hanging="435" w:hangingChars="200"/>
        <w:jc w:val="center"/>
        <w:rPr>
          <w:rFonts w:hint="default" w:asciiTheme="minorEastAsia" w:hAnsiTheme="minorEastAsia" w:eastAsiaTheme="minorEastAsia"/>
          <w:sz w:val="22"/>
        </w:rPr>
      </w:pPr>
    </w:p>
    <w:p>
      <w:pPr>
        <w:pStyle w:val="0"/>
        <w:rPr>
          <w:rFonts w:hint="default"/>
          <w:sz w:val="22"/>
        </w:rPr>
      </w:pPr>
      <w:r>
        <w:rPr>
          <w:rFonts w:hint="eastAsia"/>
          <w:sz w:val="22"/>
        </w:rPr>
        <w:t>１４　その他</w:t>
      </w:r>
    </w:p>
    <w:p>
      <w:pPr>
        <w:pStyle w:val="0"/>
        <w:ind w:firstLine="442" w:firstLineChars="200"/>
        <w:rPr>
          <w:rFonts w:hint="default"/>
          <w:sz w:val="22"/>
        </w:rPr>
      </w:pPr>
      <w:r>
        <w:rPr>
          <w:rFonts w:hint="eastAsia"/>
          <w:sz w:val="22"/>
        </w:rPr>
        <w:t>この公告のほか，次の公告共通事項等を必読のこと。</w:t>
      </w:r>
    </w:p>
    <w:p>
      <w:pPr>
        <w:pStyle w:val="0"/>
        <w:ind w:left="442" w:hanging="442" w:hangingChars="200"/>
        <w:rPr>
          <w:rFonts w:hint="default"/>
          <w:sz w:val="22"/>
        </w:rPr>
      </w:pPr>
      <w:r>
        <w:rPr>
          <w:rFonts w:hint="eastAsia"/>
          <w:sz w:val="22"/>
        </w:rPr>
        <w:t>（１）条件付き一般競争入札（事後審査型及び総合評価落札方式（特別簡易型））公告共通事項（別紙）</w:t>
      </w:r>
    </w:p>
    <w:p>
      <w:pPr>
        <w:pStyle w:val="0"/>
        <w:rPr>
          <w:rFonts w:hint="default"/>
          <w:sz w:val="22"/>
        </w:rPr>
      </w:pPr>
      <w:r>
        <w:rPr>
          <w:rFonts w:hint="eastAsia"/>
          <w:sz w:val="22"/>
        </w:rPr>
        <w:t>（２）大崎市入札契約事務取扱要綱（平成１８年大崎市告示第２４号）</w:t>
      </w:r>
    </w:p>
    <w:p>
      <w:pPr>
        <w:pStyle w:val="0"/>
        <w:rPr>
          <w:rFonts w:hint="default"/>
          <w:sz w:val="22"/>
        </w:rPr>
      </w:pPr>
      <w:r>
        <w:rPr>
          <w:rFonts w:hint="eastAsia"/>
          <w:sz w:val="22"/>
        </w:rPr>
        <w:t>（３）大崎市建設工事総合評価落札方式実施要綱（平成２３年大崎市告示第６４号）</w:t>
      </w:r>
    </w:p>
    <w:p>
      <w:pPr>
        <w:pStyle w:val="0"/>
        <w:kinsoku w:val="0"/>
        <w:spacing w:line="358" w:lineRule="exact"/>
        <w:ind w:left="197" w:leftChars="100" w:firstLine="0" w:firstLineChars="0"/>
        <w:jc w:val="both"/>
        <w:rPr>
          <w:rFonts w:hint="default" w:asciiTheme="minorEastAsia" w:hAnsiTheme="minorEastAsia" w:eastAsiaTheme="minorEastAsia"/>
          <w:sz w:val="22"/>
        </w:rPr>
      </w:pPr>
      <w:r>
        <w:rPr>
          <w:rFonts w:hint="default"/>
          <w:sz w:val="22"/>
        </w:rPr>
        <w:br w:type="page"/>
      </w:r>
    </w:p>
    <w:p>
      <w:pPr>
        <w:pStyle w:val="0"/>
        <w:kinsoku w:val="0"/>
        <w:spacing w:line="358" w:lineRule="exact"/>
        <w:ind w:left="632" w:leftChars="100" w:hanging="435" w:hangingChars="200"/>
        <w:jc w:val="center"/>
        <w:rPr>
          <w:rFonts w:hint="default" w:asciiTheme="minorEastAsia" w:hAnsiTheme="minorEastAsia" w:eastAsiaTheme="minorEastAsia"/>
          <w:sz w:val="22"/>
        </w:rPr>
      </w:pPr>
      <w:r>
        <w:rPr>
          <w:rFonts w:hint="eastAsia"/>
          <w:b w:val="1"/>
          <w:sz w:val="22"/>
        </w:rPr>
        <w:t>条件付き一般競争入札（事後審査型及び総合評価落札方式（特別簡易型））公告共通事項</w:t>
      </w:r>
    </w:p>
    <w:p>
      <w:pPr>
        <w:pStyle w:val="0"/>
        <w:kinsoku w:val="0"/>
        <w:wordWrap w:val="0"/>
        <w:spacing w:line="358" w:lineRule="exact"/>
        <w:jc w:val="center"/>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　入札に参加できる者に必要な資格に関する事項</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（１）大崎市の指名停止を受けている期間中でないこと。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（２）地方自治法施行令第１６７条の４第１項及び第２項各号の規定に該当しないこと。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（３）この入札において同一の代表者による参加は認めない。</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　入札手続等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（１）入札参加申請</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この入札に参加するための事前の入札参加申請手続きは要しない。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（２）設計図書等の閲覧</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当該工事に係る仕様書，図面及び契約条項（以下「設計図書等」という。）を閲覧に供するほか，（株）アート（大崎市古川字本鹿島２５６－１）において有料で複写することもできる。ただし，土曜日，日曜日，国民の祝日に関する法律（昭和２３年法律第１７８号）に規定する休日（以下「休日等」という。）を除く。</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閲覧の期間及び場所は，入札公告に示すとおりとする。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設計等に対する質問について</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（ア）設計図書等について質問がある場合は，「様式第７号</w:t>
      </w:r>
      <w:r>
        <w:rPr>
          <w:rFonts w:hint="eastAsia" w:asciiTheme="minorEastAsia" w:hAnsiTheme="minorEastAsia" w:eastAsiaTheme="minorEastAsia"/>
          <w:sz w:val="22"/>
        </w:rPr>
        <w:t>(</w:t>
      </w:r>
      <w:r>
        <w:rPr>
          <w:rFonts w:hint="eastAsia" w:asciiTheme="minorEastAsia" w:hAnsiTheme="minorEastAsia" w:eastAsiaTheme="minorEastAsia"/>
          <w:sz w:val="22"/>
        </w:rPr>
        <w:t>第１２条関係</w:t>
      </w:r>
      <w:r>
        <w:rPr>
          <w:rFonts w:hint="eastAsia" w:asciiTheme="minorEastAsia" w:hAnsiTheme="minorEastAsia" w:eastAsiaTheme="minorEastAsia"/>
          <w:sz w:val="22"/>
        </w:rPr>
        <w:t>)</w:t>
      </w:r>
      <w:r>
        <w:rPr>
          <w:rFonts w:hint="eastAsia" w:asciiTheme="minorEastAsia" w:hAnsiTheme="minorEastAsia" w:eastAsiaTheme="minorEastAsia"/>
          <w:sz w:val="22"/>
        </w:rPr>
        <w:t>」にある質問書に記入の上，指定の場所に提出することができる。</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（イ）質問書に対する回答書は，入札公告に示す期間及び場所で閲覧に供する。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（３）入札方式並びに開札の日時及び場所等</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初度の入札は，郵送（</w:t>
      </w:r>
      <w:r>
        <w:rPr>
          <w:rFonts w:hint="eastAsia" w:asciiTheme="minorEastAsia" w:hAnsiTheme="minorEastAsia" w:eastAsiaTheme="minorEastAsia"/>
          <w:b w:val="1"/>
          <w:sz w:val="22"/>
          <w:u w:val="double" w:color="auto"/>
        </w:rPr>
        <w:t>配達証明付郵便に限る</w:t>
      </w:r>
      <w:r>
        <w:rPr>
          <w:rFonts w:hint="eastAsia" w:asciiTheme="minorEastAsia" w:hAnsiTheme="minorEastAsia" w:eastAsiaTheme="minorEastAsia"/>
          <w:sz w:val="22"/>
          <w:u w:val="double" w:color="auto"/>
        </w:rPr>
        <w:t>。</w:t>
      </w:r>
      <w:r>
        <w:rPr>
          <w:rFonts w:hint="eastAsia" w:asciiTheme="minorEastAsia" w:hAnsiTheme="minorEastAsia" w:eastAsiaTheme="minorEastAsia"/>
          <w:sz w:val="22"/>
        </w:rPr>
        <w:t>）による入札とし，開札の日時及び場所は，入札公告に示すとおりとする。</w:t>
      </w:r>
    </w:p>
    <w:p>
      <w:pPr>
        <w:pStyle w:val="0"/>
        <w:rPr>
          <w:rFonts w:hint="default"/>
          <w:sz w:val="22"/>
        </w:rPr>
      </w:pPr>
      <w:r>
        <w:rPr>
          <w:rFonts w:hint="eastAsia" w:asciiTheme="minorEastAsia" w:hAnsiTheme="minorEastAsia" w:eastAsiaTheme="minorEastAsia"/>
          <w:sz w:val="22"/>
        </w:rPr>
        <w:t>（４）</w:t>
      </w:r>
      <w:r>
        <w:rPr>
          <w:rFonts w:hint="eastAsia"/>
          <w:sz w:val="22"/>
        </w:rPr>
        <w:t>入札参加資格の確認及び総合評価</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sz w:val="22"/>
        </w:rPr>
        <w:t>入札参加資格の確認及び総合評価は，開札後に，落札者とするため確認の必要がある者について行う。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　入札方法等</w:t>
      </w:r>
    </w:p>
    <w:p>
      <w:pPr>
        <w:pStyle w:val="0"/>
        <w:rPr>
          <w:rFonts w:hint="default"/>
          <w:sz w:val="22"/>
        </w:rPr>
      </w:pPr>
      <w:r>
        <w:rPr>
          <w:rFonts w:hint="eastAsia" w:asciiTheme="minorEastAsia" w:hAnsiTheme="minorEastAsia" w:eastAsiaTheme="minorEastAsia"/>
          <w:sz w:val="22"/>
        </w:rPr>
        <w:t>（１）</w:t>
      </w:r>
      <w:r>
        <w:rPr>
          <w:rFonts w:hint="eastAsia"/>
          <w:sz w:val="22"/>
        </w:rPr>
        <w:t>入札書及び総合評価方式・価格以外の総合評価技術資料の提出</w:t>
      </w:r>
    </w:p>
    <w:p>
      <w:pPr>
        <w:pStyle w:val="0"/>
        <w:ind w:left="703" w:leftChars="200" w:hanging="221" w:hangingChars="100"/>
        <w:rPr>
          <w:rFonts w:hint="default"/>
          <w:sz w:val="22"/>
        </w:rPr>
      </w:pPr>
      <w:r>
        <w:rPr>
          <w:rFonts w:hint="eastAsia"/>
          <w:sz w:val="22"/>
        </w:rPr>
        <w:t>ア　初度の入札書及び総合評価方式・価格以外の総合評価技術資料（別記様式１</w:t>
      </w:r>
      <w:r>
        <w:rPr>
          <w:rFonts w:hint="default"/>
          <w:sz w:val="22"/>
        </w:rPr>
        <w:t>）（以下「入札書等」という。）の提出期限及び提出先は，入札公告に示すとおりとする。</w:t>
      </w:r>
    </w:p>
    <w:p>
      <w:pPr>
        <w:pStyle w:val="0"/>
        <w:ind w:left="703" w:leftChars="200" w:hanging="221" w:hangingChars="100"/>
        <w:rPr>
          <w:rFonts w:hint="default"/>
          <w:sz w:val="22"/>
        </w:rPr>
      </w:pPr>
      <w:r>
        <w:rPr>
          <w:rFonts w:hint="eastAsia"/>
          <w:sz w:val="22"/>
        </w:rPr>
        <w:t>イ　初度の入札書等の提出は，配達証明付郵便により提出期限までに入札公告に示す入札書郵送先に到達しなければならない。</w:t>
      </w:r>
    </w:p>
    <w:p>
      <w:pPr>
        <w:pStyle w:val="0"/>
        <w:ind w:left="703" w:leftChars="200" w:hanging="221" w:hangingChars="100"/>
        <w:rPr>
          <w:rFonts w:hint="default"/>
          <w:sz w:val="22"/>
        </w:rPr>
      </w:pPr>
      <w:r>
        <w:rPr>
          <w:rFonts w:hint="eastAsia"/>
          <w:sz w:val="22"/>
        </w:rPr>
        <w:t>ウ　入札書等の郵送は，二重封筒とし，入札書及び工事費内訳書を中封筒に入れ，封かんの上，入札者の名称及び建設工事入札参加登録番号，入札に係る工事名及び工事番号並びに開札日を表記し，外封筒には入札書及び工事費内訳書を同封した中封筒，総合評価技術資料，建設工事入札参加登録通知書の写し及び連絡担当者の名刺１枚を入れ，表に工事名，工事番号，開札日及び入札書等在中の旨を朱書きすること。</w:t>
      </w:r>
    </w:p>
    <w:p>
      <w:pPr>
        <w:pStyle w:val="0"/>
        <w:ind w:left="703" w:leftChars="200" w:hanging="221" w:hangingChars="100"/>
        <w:rPr>
          <w:rFonts w:hint="default"/>
          <w:sz w:val="22"/>
        </w:rPr>
      </w:pPr>
      <w:r>
        <w:rPr>
          <w:rFonts w:hint="eastAsia"/>
          <w:sz w:val="22"/>
        </w:rPr>
        <w:t>エ　一つの外封筒に二つ以上の入札書等を同封してはならない。</w:t>
      </w:r>
    </w:p>
    <w:p>
      <w:pPr>
        <w:pStyle w:val="0"/>
        <w:ind w:left="703" w:leftChars="200" w:hanging="221" w:hangingChars="100"/>
        <w:rPr>
          <w:rFonts w:hint="default"/>
          <w:sz w:val="22"/>
        </w:rPr>
      </w:pPr>
      <w:r>
        <w:rPr>
          <w:rFonts w:hint="eastAsia"/>
          <w:sz w:val="22"/>
        </w:rPr>
        <w:t>オ　持参，電報，ファクシミリ，その他電気通信による入札書等の提出は認めない。</w:t>
      </w:r>
    </w:p>
    <w:p>
      <w:pPr>
        <w:pStyle w:val="0"/>
        <w:ind w:left="703" w:leftChars="200" w:hanging="221" w:hangingChars="100"/>
        <w:rPr>
          <w:rFonts w:hint="default"/>
          <w:sz w:val="22"/>
        </w:rPr>
      </w:pPr>
      <w:r>
        <w:rPr>
          <w:rFonts w:hint="eastAsia"/>
          <w:sz w:val="22"/>
        </w:rPr>
        <w:t>カ　提出期限を過ぎて到着した入札書等は，いかなる事由があっても受理しない。</w:t>
      </w:r>
    </w:p>
    <w:p>
      <w:pPr>
        <w:pStyle w:val="0"/>
        <w:kinsoku w:val="0"/>
        <w:wordWrap w:val="0"/>
        <w:spacing w:line="358" w:lineRule="exact"/>
        <w:ind w:left="393" w:leftChars="200" w:firstLine="0" w:firstLineChars="0"/>
        <w:rPr>
          <w:rFonts w:hint="default" w:asciiTheme="minorEastAsia" w:hAnsiTheme="minorEastAsia" w:eastAsiaTheme="minorEastAsia"/>
          <w:sz w:val="22"/>
        </w:rPr>
      </w:pPr>
      <w:r>
        <w:rPr>
          <w:rFonts w:hint="eastAsia"/>
          <w:sz w:val="22"/>
        </w:rPr>
        <w:t>キ　既に提出した入札書等の訂正，差し換え及び再提出は認めない。</w:t>
      </w:r>
    </w:p>
    <w:p>
      <w:pPr>
        <w:pStyle w:val="0"/>
        <w:kinsoku w:val="0"/>
        <w:wordWrap w:val="0"/>
        <w:spacing w:line="358" w:lineRule="exact"/>
        <w:ind w:left="611" w:leftChars="200" w:hanging="218" w:hangingChars="100"/>
        <w:rPr>
          <w:rFonts w:hint="default" w:asciiTheme="minorEastAsia" w:hAnsiTheme="minorEastAsia" w:eastAsiaTheme="minorEastAsia"/>
          <w:b w:val="1"/>
          <w:sz w:val="22"/>
          <w:u w:val="single" w:color="auto"/>
        </w:rPr>
      </w:pPr>
      <w:r>
        <w:rPr>
          <w:rFonts w:hint="eastAsia" w:asciiTheme="minorEastAsia" w:hAnsiTheme="minorEastAsia" w:eastAsiaTheme="minorEastAsia"/>
          <w:b w:val="1"/>
          <w:sz w:val="22"/>
          <w:u w:val="single" w:color="auto"/>
        </w:rPr>
        <w:t>ク　初度の入札を代理人で行った場合は無効とする。　※入札書記載例参照</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（２）入札者又はその代理人は開札に立ち会うことができる。入札者又はその代理人が立ち会わない場合においては，入札事務に関係のない大崎市職員を立ち会わせて行う。</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（３）適正な入札の執行を期すため必要があるときは，開札の際に，提出された入札書のうち開札する入札書を抽選により選定することがある。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（４）抽選により選定し開札する入札書の数は，入札執行者が抽選の際に示す。</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入札書に記載された金額に当該金額の１００分の１０に相当する額を加算した金額（当該金額に１円未満の端数があるときは，その端数金額を切り捨てた金額）をもって契約金額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（６）入札執行回数は，再度入札を含めて２回を限度とする。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　再度入札の方法</w:t>
      </w:r>
    </w:p>
    <w:p>
      <w:pPr>
        <w:pStyle w:val="0"/>
        <w:ind w:left="442" w:hanging="442" w:hangingChars="200"/>
        <w:rPr>
          <w:rFonts w:hint="default"/>
          <w:sz w:val="22"/>
        </w:rPr>
      </w:pPr>
      <w:r>
        <w:rPr>
          <w:rFonts w:hint="eastAsia" w:asciiTheme="minorEastAsia" w:hAnsiTheme="minorEastAsia" w:eastAsiaTheme="minorEastAsia"/>
          <w:sz w:val="22"/>
        </w:rPr>
        <w:t>（１）</w:t>
      </w:r>
      <w:r>
        <w:rPr>
          <w:rFonts w:hint="eastAsia"/>
          <w:sz w:val="22"/>
        </w:rPr>
        <w:t>再度入札は，初度の入札において，予定価格の範囲内の価格で入札がない場合に，１回のみ実施するものとする。</w:t>
      </w:r>
    </w:p>
    <w:p>
      <w:pPr>
        <w:pStyle w:val="0"/>
        <w:ind w:left="442" w:hanging="442" w:hangingChars="200"/>
        <w:rPr>
          <w:rFonts w:hint="default"/>
          <w:sz w:val="22"/>
        </w:rPr>
      </w:pPr>
      <w:r>
        <w:rPr>
          <w:rFonts w:hint="eastAsia"/>
          <w:sz w:val="22"/>
        </w:rPr>
        <w:t>（２）再度入札は，初度の入札を行い，かつ開札時から立会いを行った者のみで実施するものとし，立会いのない入札者は，再度入札を辞退したものとみなす。</w:t>
      </w:r>
    </w:p>
    <w:p>
      <w:pPr>
        <w:pStyle w:val="0"/>
        <w:ind w:left="442" w:hanging="442" w:hangingChars="200"/>
        <w:rPr>
          <w:rFonts w:hint="default"/>
          <w:sz w:val="22"/>
        </w:rPr>
      </w:pPr>
      <w:r>
        <w:rPr>
          <w:rFonts w:hint="eastAsia"/>
          <w:sz w:val="22"/>
        </w:rPr>
        <w:t>（３）再度入札の方法は，入札執行者が初度の入札の最低入札価格を公表した上で，入札者が再度の入札書を提出する方法で実施するものとする。</w:t>
      </w:r>
    </w:p>
    <w:p>
      <w:pPr>
        <w:pStyle w:val="0"/>
        <w:ind w:left="442" w:hanging="442" w:hangingChars="200"/>
        <w:rPr>
          <w:rFonts w:hint="default"/>
          <w:sz w:val="22"/>
        </w:rPr>
      </w:pPr>
      <w:r>
        <w:rPr>
          <w:rFonts w:hint="eastAsia"/>
          <w:sz w:val="22"/>
        </w:rPr>
        <w:t>（４）再度入札に参加する者は，次の書類を持参して立ち合うものとする。</w:t>
      </w:r>
    </w:p>
    <w:p>
      <w:pPr>
        <w:pStyle w:val="0"/>
        <w:ind w:left="703" w:leftChars="200" w:hanging="221" w:hangingChars="100"/>
        <w:rPr>
          <w:rFonts w:hint="default"/>
          <w:sz w:val="22"/>
        </w:rPr>
      </w:pPr>
      <w:r>
        <w:rPr>
          <w:rFonts w:hint="eastAsia"/>
          <w:sz w:val="22"/>
        </w:rPr>
        <w:t>ア　入札書（再度入札用）</w:t>
      </w:r>
    </w:p>
    <w:p>
      <w:pPr>
        <w:pStyle w:val="0"/>
        <w:ind w:left="703" w:leftChars="200" w:hanging="221" w:hangingChars="100"/>
        <w:rPr>
          <w:rFonts w:hint="default"/>
          <w:sz w:val="22"/>
        </w:rPr>
      </w:pPr>
      <w:r>
        <w:rPr>
          <w:rFonts w:hint="eastAsia"/>
          <w:sz w:val="22"/>
        </w:rPr>
        <w:t>イ　名刺（代表者の場合）又は委任状（代理人の場合）　</w:t>
      </w:r>
    </w:p>
    <w:p>
      <w:pPr>
        <w:pStyle w:val="0"/>
        <w:ind w:left="703" w:leftChars="200" w:hanging="221" w:hangingChars="100"/>
        <w:rPr>
          <w:rFonts w:hint="default"/>
          <w:sz w:val="22"/>
        </w:rPr>
      </w:pPr>
      <w:r>
        <w:rPr>
          <w:rFonts w:hint="eastAsia"/>
          <w:sz w:val="22"/>
        </w:rPr>
        <w:t>※　様式は，大崎市公式ウェブサイト　事業者向け【入札・契約情報】→【入札・契約関連様式】→【入札書など様式】からダウンロードすること。</w:t>
      </w:r>
    </w:p>
    <w:p>
      <w:pPr>
        <w:pStyle w:val="0"/>
        <w:ind w:left="442" w:hanging="442" w:hangingChars="200"/>
        <w:rPr>
          <w:rFonts w:hint="default"/>
          <w:sz w:val="22"/>
        </w:rPr>
      </w:pPr>
      <w:r>
        <w:rPr>
          <w:rFonts w:hint="eastAsia"/>
          <w:sz w:val="22"/>
        </w:rPr>
        <w:t>（５）再度入札において，なお予定価格の範囲内の価格での入札がない場合は，最低価格入札者と随意契約の協議を行う場合がある。（その場合は，見積書の提出を求める。）</w:t>
      </w:r>
    </w:p>
    <w:p>
      <w:pPr>
        <w:pStyle w:val="0"/>
        <w:kinsoku w:val="0"/>
        <w:wordWrap w:val="0"/>
        <w:spacing w:line="358" w:lineRule="exact"/>
        <w:rPr>
          <w:rFonts w:hint="default" w:asciiTheme="minorEastAsia" w:hAnsiTheme="minorEastAsia" w:eastAsiaTheme="minorEastAsia"/>
          <w:sz w:val="22"/>
        </w:rPr>
      </w:pPr>
    </w:p>
    <w:p>
      <w:pPr>
        <w:pStyle w:val="0"/>
        <w:rPr>
          <w:rFonts w:hint="default"/>
          <w:sz w:val="22"/>
          <w:highlight w:val="yellow"/>
        </w:rPr>
      </w:pPr>
      <w:r>
        <w:rPr>
          <w:rFonts w:hint="eastAsia" w:asciiTheme="minorEastAsia" w:hAnsiTheme="minorEastAsia" w:eastAsiaTheme="minorEastAsia"/>
          <w:sz w:val="22"/>
        </w:rPr>
        <w:t>５　</w:t>
      </w:r>
      <w:r>
        <w:rPr>
          <w:rFonts w:hint="eastAsia"/>
          <w:sz w:val="22"/>
          <w:highlight w:val="none"/>
        </w:rPr>
        <w:t>落札候補者の決定方法</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sz w:val="22"/>
        </w:rPr>
        <w:t>「大崎市建設工事総合評価落札方式実施要綱」及び「大崎市建設工事総合評価落札方式（特別簡易型）落札者決定基準」に示すとおりとし，入札価格が，予定価格の範囲内の価格をもって有効な入札をした者のうち，総合評価点の最も高い者を落札候補者として指定する。ただし，調査基準価格を下回る入札があった場合において，最低の価格をもって入札した者の入札価格によっては，その者により当該契約の内容に適合した履行がされない恐れがあると認められるとき，又はその者と契約を締結することが公正な取引の秩序を乱すこととなる恐れがあり著しく不適当であると認められるときは，予定価格の範囲内の価格をもって入札した他の者のうち最低の価格をもって入札した者を落札者とすることがあ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６　入札参加資格の確認等</w:t>
      </w:r>
    </w:p>
    <w:p>
      <w:pPr>
        <w:pStyle w:val="0"/>
        <w:rPr>
          <w:rFonts w:hint="default"/>
          <w:sz w:val="22"/>
        </w:rPr>
      </w:pPr>
      <w:r>
        <w:rPr>
          <w:rFonts w:hint="eastAsia" w:asciiTheme="minorEastAsia" w:hAnsiTheme="minorEastAsia" w:eastAsiaTheme="minorEastAsia"/>
          <w:sz w:val="22"/>
        </w:rPr>
        <w:t>（１）</w:t>
      </w:r>
      <w:r>
        <w:rPr>
          <w:rFonts w:hint="eastAsia"/>
          <w:sz w:val="22"/>
        </w:rPr>
        <w:t>入札参加資格確認及び総合評価手続</w:t>
      </w:r>
    </w:p>
    <w:p>
      <w:pPr>
        <w:pStyle w:val="0"/>
        <w:ind w:left="482" w:leftChars="200" w:firstLine="221" w:firstLineChars="100"/>
        <w:rPr>
          <w:rFonts w:hint="default"/>
          <w:sz w:val="22"/>
        </w:rPr>
      </w:pPr>
      <w:r>
        <w:rPr>
          <w:rFonts w:hint="eastAsia"/>
          <w:sz w:val="22"/>
        </w:rPr>
        <w:t>開札後に，落札者とするための入札参加資格確認及び総合評価を行うので，落札候補者の指定を受けた者は，入札公告に掲げる書類を提出しなければならない。なお，資格確認及び総合評価の結果，落札者が決定したときは，既に入札参加資格確認及び総合評価を受けた者を除き，他の入札参加者の入札参加資格確認及び総合評価は行わない。</w:t>
      </w:r>
    </w:p>
    <w:p>
      <w:pPr>
        <w:pStyle w:val="0"/>
        <w:ind w:left="442" w:hanging="442" w:hangingChars="200"/>
        <w:rPr>
          <w:rFonts w:hint="default"/>
          <w:sz w:val="22"/>
        </w:rPr>
      </w:pPr>
      <w:r>
        <w:rPr>
          <w:rFonts w:hint="eastAsia" w:asciiTheme="minorEastAsia" w:hAnsiTheme="minorEastAsia" w:eastAsiaTheme="minorEastAsia"/>
          <w:sz w:val="22"/>
        </w:rPr>
        <w:t>（２）</w:t>
      </w:r>
      <w:r>
        <w:rPr>
          <w:rFonts w:hint="eastAsia"/>
          <w:sz w:val="22"/>
        </w:rPr>
        <w:t>入札参加資格確認に必要な書類及び総合評価に必要な書類（以下「総合評価技術資料」という。）の提出方法，提出期限及び提出場所</w:t>
      </w:r>
    </w:p>
    <w:p>
      <w:pPr>
        <w:pStyle w:val="0"/>
        <w:ind w:left="482" w:leftChars="200"/>
        <w:rPr>
          <w:rFonts w:hint="default"/>
          <w:sz w:val="22"/>
        </w:rPr>
      </w:pPr>
      <w:r>
        <w:rPr>
          <w:rFonts w:hint="eastAsia"/>
          <w:sz w:val="22"/>
        </w:rPr>
        <w:t>ア　提出方法</w:t>
      </w:r>
    </w:p>
    <w:p>
      <w:pPr>
        <w:pStyle w:val="0"/>
        <w:ind w:left="723" w:leftChars="300" w:firstLine="221" w:firstLineChars="100"/>
        <w:rPr>
          <w:rFonts w:hint="default"/>
          <w:sz w:val="22"/>
        </w:rPr>
      </w:pPr>
      <w:r>
        <w:rPr>
          <w:rFonts w:hint="eastAsia"/>
          <w:sz w:val="22"/>
        </w:rPr>
        <w:t>入札公告に示す入札担当課へ持参すること。</w:t>
      </w:r>
    </w:p>
    <w:p>
      <w:pPr>
        <w:pStyle w:val="0"/>
        <w:ind w:left="482" w:leftChars="200"/>
        <w:rPr>
          <w:rFonts w:hint="default"/>
          <w:sz w:val="22"/>
        </w:rPr>
      </w:pPr>
      <w:r>
        <w:rPr>
          <w:rFonts w:hint="eastAsia"/>
          <w:sz w:val="22"/>
        </w:rPr>
        <w:t>イ　提出期限</w:t>
      </w:r>
    </w:p>
    <w:p>
      <w:pPr>
        <w:pStyle w:val="0"/>
        <w:ind w:left="723" w:leftChars="300" w:firstLine="221" w:firstLineChars="100"/>
        <w:rPr>
          <w:rFonts w:hint="default"/>
          <w:sz w:val="22"/>
        </w:rPr>
      </w:pPr>
      <w:r>
        <w:rPr>
          <w:rFonts w:hint="eastAsia"/>
          <w:sz w:val="22"/>
        </w:rPr>
        <w:t>入札執行者から入札参加確認に必要な書類及び総合評価技術資料の提出を求められた日から起算して五日以内（休日等を除く。）とする。ただし，入札執行者が特別な事情があると認めた場合は，この限りでない。</w:t>
      </w:r>
    </w:p>
    <w:p>
      <w:pPr>
        <w:pStyle w:val="0"/>
        <w:ind w:left="442" w:hanging="442" w:hangingChars="200"/>
        <w:rPr>
          <w:rFonts w:hint="default"/>
          <w:sz w:val="22"/>
        </w:rPr>
      </w:pPr>
      <w:r>
        <w:rPr>
          <w:rFonts w:hint="eastAsia"/>
          <w:sz w:val="22"/>
        </w:rPr>
        <w:t>（３）入札参加資格の確認及び総合評価に基づく落札の可否については，入札参加資格確認の書類及び総合評価技術資料が提出された日から起算して五日以内（休日等を除く。）に通知する。ただし，入札参加資格の確認又は総合評価点に疑義が生じた場合，調査基準価格を下回る入札であった場合等は，この限りではない。</w:t>
      </w:r>
    </w:p>
    <w:p>
      <w:pPr>
        <w:pStyle w:val="0"/>
        <w:ind w:left="442" w:hanging="442" w:hangingChars="200"/>
        <w:rPr>
          <w:rFonts w:hint="default"/>
          <w:sz w:val="22"/>
        </w:rPr>
      </w:pPr>
      <w:r>
        <w:rPr>
          <w:rFonts w:hint="eastAsia"/>
          <w:sz w:val="22"/>
        </w:rPr>
        <w:t>（４）落札候補者は，入札参加資格を有すると認められなかった場合又は総合評価点に疑義が生じた場合，前項の通知を受けた日から起算して二日以内（休日等を除く。）に，その理由について書面で問い合せをすることができる。</w:t>
      </w:r>
    </w:p>
    <w:p>
      <w:pPr>
        <w:pStyle w:val="0"/>
        <w:ind w:left="442" w:hanging="442" w:hangingChars="200"/>
        <w:rPr>
          <w:rFonts w:hint="default"/>
          <w:sz w:val="22"/>
        </w:rPr>
      </w:pPr>
      <w:r>
        <w:rPr>
          <w:rFonts w:hint="eastAsia"/>
          <w:sz w:val="22"/>
        </w:rPr>
        <w:t>（５）（４）の説明を求める場合は，その旨を記載した書面を入札公告に示す入札担当課に提出すること。</w:t>
      </w:r>
    </w:p>
    <w:p>
      <w:pPr>
        <w:pStyle w:val="0"/>
        <w:ind w:left="442" w:hanging="442" w:hangingChars="200"/>
        <w:rPr>
          <w:rFonts w:hint="default"/>
          <w:sz w:val="22"/>
        </w:rPr>
      </w:pPr>
      <w:r>
        <w:rPr>
          <w:rFonts w:hint="eastAsia"/>
          <w:sz w:val="22"/>
        </w:rPr>
        <w:t>（６）落札候補者が提出期限内に（１）に定める入札参加資格確認の書類及び総合評価技術資料を提出しないとき，又は落札候補者が入札参加資格確認及び総合評価のために入札執行者が行う指示に応じないときは，当該落札候補者のした入札は効力を失う。</w:t>
      </w:r>
    </w:p>
    <w:p>
      <w:pPr>
        <w:pStyle w:val="0"/>
        <w:rPr>
          <w:rFonts w:hint="default"/>
          <w:sz w:val="22"/>
        </w:rPr>
      </w:pPr>
    </w:p>
    <w:p>
      <w:pPr>
        <w:pStyle w:val="0"/>
        <w:rPr>
          <w:rFonts w:hint="default"/>
          <w:sz w:val="22"/>
        </w:rPr>
      </w:pPr>
      <w:r>
        <w:rPr>
          <w:rFonts w:hint="eastAsia"/>
          <w:sz w:val="22"/>
        </w:rPr>
        <w:t>７　入札の無効等</w:t>
      </w:r>
    </w:p>
    <w:p>
      <w:pPr>
        <w:pStyle w:val="0"/>
        <w:ind w:left="442" w:hanging="442" w:hangingChars="200"/>
        <w:rPr>
          <w:rFonts w:hint="default"/>
          <w:sz w:val="22"/>
        </w:rPr>
      </w:pPr>
      <w:r>
        <w:rPr>
          <w:rFonts w:hint="eastAsia"/>
          <w:sz w:val="22"/>
        </w:rPr>
        <w:t>（１）大崎市入札契約事務取扱要綱第２１条各号のいずれかに該当する入札は，無効とする。</w:t>
      </w:r>
    </w:p>
    <w:p>
      <w:pPr>
        <w:pStyle w:val="0"/>
        <w:ind w:left="442" w:hanging="442" w:hangingChars="200"/>
        <w:rPr>
          <w:rFonts w:hint="default"/>
          <w:sz w:val="22"/>
        </w:rPr>
      </w:pPr>
      <w:r>
        <w:rPr>
          <w:rFonts w:hint="eastAsia"/>
          <w:sz w:val="22"/>
        </w:rPr>
        <w:t>（２）落札候補者が入札期日以降落札決定までの間に，入札公告に掲げるいずれかの要件を満たさなくなった場合は，当該落札候補者のした入札は，効力を失う。</w:t>
      </w:r>
    </w:p>
    <w:p>
      <w:pPr>
        <w:pStyle w:val="0"/>
        <w:ind w:left="442" w:hanging="442" w:hangingChars="200"/>
        <w:rPr>
          <w:rFonts w:hint="default"/>
          <w:sz w:val="22"/>
        </w:rPr>
      </w:pPr>
      <w:r>
        <w:rPr>
          <w:rFonts w:hint="eastAsia"/>
          <w:sz w:val="22"/>
        </w:rPr>
        <w:t>（３）契約締結後において，（１）又は（２）により入札が無効となることが明らかになった場合は，大崎市の指示に従わなければならない。</w:t>
      </w:r>
    </w:p>
    <w:p>
      <w:pPr>
        <w:pStyle w:val="0"/>
        <w:rPr>
          <w:rFonts w:hint="default"/>
          <w:sz w:val="22"/>
        </w:rPr>
      </w:pPr>
    </w:p>
    <w:p>
      <w:pPr>
        <w:pStyle w:val="0"/>
        <w:rPr>
          <w:rFonts w:hint="default"/>
          <w:sz w:val="22"/>
          <w:highlight w:val="yellow"/>
        </w:rPr>
      </w:pPr>
      <w:r>
        <w:rPr>
          <w:rFonts w:hint="eastAsia"/>
          <w:sz w:val="22"/>
          <w:highlight w:val="none"/>
        </w:rPr>
        <w:t>８　その他</w:t>
      </w:r>
    </w:p>
    <w:p>
      <w:pPr>
        <w:pStyle w:val="0"/>
        <w:ind w:left="442" w:hanging="442" w:hangingChars="200"/>
        <w:rPr>
          <w:rFonts w:hint="default"/>
          <w:sz w:val="22"/>
        </w:rPr>
      </w:pPr>
      <w:r>
        <w:rPr>
          <w:rFonts w:hint="eastAsia"/>
          <w:sz w:val="22"/>
        </w:rPr>
        <w:t>（１）入札参加者は，大崎市契約規則及び</w:t>
      </w:r>
      <w:r>
        <w:rPr>
          <w:rFonts w:hint="eastAsia" w:asciiTheme="minorEastAsia" w:hAnsiTheme="minorEastAsia" w:eastAsiaTheme="minorEastAsia"/>
          <w:sz w:val="22"/>
        </w:rPr>
        <w:t>大崎市入札契約事務取扱要綱</w:t>
      </w:r>
      <w:r>
        <w:rPr>
          <w:rFonts w:hint="eastAsia"/>
          <w:sz w:val="22"/>
        </w:rPr>
        <w:t>を遵守しなければならない。</w:t>
      </w:r>
    </w:p>
    <w:p>
      <w:pPr>
        <w:pStyle w:val="0"/>
        <w:ind w:left="442" w:hanging="442" w:hangingChars="200"/>
        <w:rPr>
          <w:rFonts w:hint="default"/>
          <w:sz w:val="22"/>
        </w:rPr>
      </w:pPr>
      <w:r>
        <w:rPr>
          <w:rFonts w:hint="eastAsia"/>
          <w:sz w:val="22"/>
        </w:rPr>
        <w:t>（２）その他不明な点については，大崎市総務部財政課入札契約担当（電話</w:t>
      </w:r>
      <w:r>
        <w:rPr>
          <w:rFonts w:hint="default"/>
          <w:sz w:val="22"/>
        </w:rPr>
        <w:t>0229-23-5177</w:t>
      </w:r>
      <w:r>
        <w:rPr>
          <w:rFonts w:hint="default"/>
          <w:sz w:val="22"/>
        </w:rPr>
        <w:t>）に照会すること。</w:t>
      </w:r>
      <w:r>
        <w:rPr>
          <w:rFonts w:hint="default"/>
          <w:sz w:val="22"/>
        </w:rPr>
        <w:br w:type="page"/>
      </w:r>
    </w:p>
    <w:p>
      <w:pPr>
        <w:pStyle w:val="0"/>
        <w:kinsoku w:val="0"/>
        <w:wordWrap w:val="0"/>
        <w:spacing w:line="358" w:lineRule="exact"/>
        <w:ind w:left="433" w:hanging="433" w:hangingChars="200"/>
        <w:rPr>
          <w:rFonts w:hint="default" w:asciiTheme="minorEastAsia" w:hAnsiTheme="minorEastAsia" w:eastAsiaTheme="minorEastAsia"/>
          <w:b w:val="1"/>
          <w:color w:val="FF0000"/>
          <w:sz w:val="24"/>
        </w:rPr>
      </w:pPr>
      <w:r>
        <w:rPr>
          <w:rFonts w:hint="eastAsia" w:asciiTheme="minorEastAsia" w:hAnsiTheme="minorEastAsia" w:eastAsiaTheme="minorEastAsia"/>
          <w:b w:val="1"/>
          <w:color w:val="FF0000"/>
          <w:sz w:val="24"/>
        </w:rPr>
        <w:t>【初度の入札書記載例】</w:t>
      </w:r>
    </w:p>
    <w:p>
      <w:pPr>
        <w:pStyle w:val="0"/>
        <w:jc w:val="right"/>
        <w:rPr>
          <w:rFonts w:hint="default" w:asciiTheme="minorEastAsia" w:hAnsiTheme="minorEastAsia" w:eastAsiaTheme="minorEastAsia"/>
          <w:sz w:val="24"/>
          <w:u w:val="wavyDouble" w:color="auto"/>
        </w:rPr>
      </w:pPr>
      <w:r>
        <w:rPr>
          <w:rFonts w:hint="eastAsia" w:asciiTheme="minorEastAsia" w:hAnsiTheme="minorEastAsia" w:eastAsiaTheme="minorEastAsia"/>
          <w:sz w:val="24"/>
          <w:u w:val="wavyDouble" w:color="auto"/>
        </w:rPr>
        <w:t>開札日を記載すること。積算内訳書の日付についても同様とする</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9" behindDoc="0" locked="0" layoutInCell="1" hidden="0" allowOverlap="1">
                <wp:simplePos x="0" y="0"/>
                <wp:positionH relativeFrom="column">
                  <wp:posOffset>5378450</wp:posOffset>
                </wp:positionH>
                <wp:positionV relativeFrom="paragraph">
                  <wp:posOffset>1270</wp:posOffset>
                </wp:positionV>
                <wp:extent cx="0" cy="690880"/>
                <wp:effectExtent l="36195" t="0" r="65405" b="10160"/>
                <wp:wrapNone/>
                <wp:docPr id="1026" name="Line 60"/>
                <a:graphic xmlns:a="http://schemas.openxmlformats.org/drawingml/2006/main">
                  <a:graphicData uri="http://schemas.microsoft.com/office/word/2010/wordprocessingShape">
                    <wps:wsp>
                      <wps:cNvPr id="1026" name="Line 60"/>
                      <wps:cNvSpPr>
                        <a:spLocks noChangeShapeType="1"/>
                      </wps:cNvSpPr>
                      <wps:spPr>
                        <a:xfrm>
                          <a:off x="0" y="0"/>
                          <a:ext cx="0" cy="690880"/>
                        </a:xfrm>
                        <a:prstGeom prst="line">
                          <a:avLst/>
                        </a:prstGeom>
                        <a:noFill/>
                        <a:ln w="9525">
                          <a:solidFill>
                            <a:srgbClr val="000000"/>
                          </a:solidFill>
                          <a:round/>
                          <a:headEnd/>
                          <a:tailEnd type="triangle" w="med" len="med"/>
                        </a:ln>
                      </wps:spPr>
                      <wps:bodyPr/>
                    </wps:wsp>
                  </a:graphicData>
                </a:graphic>
              </wp:anchor>
            </w:drawing>
          </mc:Choice>
          <mc:Fallback>
            <w:pict>
              <v:line id="Line 60" style="mso-wrap-distance-top:0pt;mso-wrap-distance-right:9pt;mso-wrap-distance-bottom:0pt;mso-position-vertical-relative:text;mso-position-horizontal-relative:text;position:absolute;mso-wrap-distance-left:9pt;z-index:9;" o:spid="_x0000_s1026" o:allowincell="t" o:allowoverlap="t" filled="f" stroked="t" strokecolor="#000000" strokeweight="0.75pt" o:spt="20" from="423.5pt,0.1pt" to="423.5pt,54.5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Theme="minorEastAsia" w:hAnsiTheme="minorEastAsia" w:eastAsiaTheme="minorEastAsia"/>
          <w:spacing w:val="315"/>
          <w:sz w:val="24"/>
        </w:rPr>
        <w:t>入札</w:t>
      </w:r>
      <w:r>
        <w:rPr>
          <w:rFonts w:hint="eastAsia" w:asciiTheme="minorEastAsia" w:hAnsiTheme="minorEastAsia" w:eastAsiaTheme="minorEastAsia"/>
          <w:sz w:val="24"/>
        </w:rPr>
        <w:t>書</w:t>
      </w:r>
    </w:p>
    <w:p>
      <w:pPr>
        <w:pStyle w:val="0"/>
        <w:rPr>
          <w:rFonts w:hint="default" w:asciiTheme="minorEastAsia" w:hAnsiTheme="minorEastAsia" w:eastAsiaTheme="minorEastAsia"/>
          <w:sz w:val="24"/>
        </w:rPr>
      </w:pPr>
    </w:p>
    <w:p>
      <w:pPr>
        <w:pStyle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rPr>
          <w:rFonts w:hint="default" w:asciiTheme="minorEastAsia" w:hAnsiTheme="minorEastAsia" w:eastAsiaTheme="minorEastAsia"/>
          <w:sz w:val="24"/>
        </w:rPr>
      </w:pPr>
      <w:r>
        <w:rPr>
          <w:rFonts w:hint="eastAsia" w:asciiTheme="minorEastAsia" w:hAnsiTheme="minorEastAsia" w:eastAsiaTheme="minorEastAsia"/>
          <w:spacing w:val="420"/>
          <w:sz w:val="24"/>
        </w:rPr>
        <mc:AlternateContent>
          <mc:Choice Requires="wps">
            <w:drawing>
              <wp:anchor distT="0" distB="0" distL="114300" distR="114300" simplePos="0" relativeHeight="12" behindDoc="0" locked="0" layoutInCell="1" hidden="0" allowOverlap="1">
                <wp:simplePos x="0" y="0"/>
                <wp:positionH relativeFrom="column">
                  <wp:posOffset>3138170</wp:posOffset>
                </wp:positionH>
                <wp:positionV relativeFrom="paragraph">
                  <wp:posOffset>111760</wp:posOffset>
                </wp:positionV>
                <wp:extent cx="3305175" cy="1209675"/>
                <wp:effectExtent l="635" t="635" r="29845" b="10795"/>
                <wp:wrapNone/>
                <wp:docPr id="1027" name="AutoShape 63"/>
                <a:graphic xmlns:a="http://schemas.openxmlformats.org/drawingml/2006/main">
                  <a:graphicData uri="http://schemas.microsoft.com/office/word/2010/wordprocessingShape">
                    <wps:wsp>
                      <wps:cNvPr id="1027" name="AutoShape 63"/>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63" style="mso-wrap-distance-right:9pt;mso-wrap-distance-bottom:0pt;margin-top:8.8000000000000007pt;mso-position-vertical-relative:text;mso-position-horizontal-relative:text;v-text-anchor:top;position:absolute;height:95.25pt;mso-wrap-distance-top:0pt;width:260.25pt;mso-wrap-distance-left:9pt;margin-left:247.1pt;z-index:12;"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rPr>
          <w:rFonts w:hint="default" w:asciiTheme="minorEastAsia" w:hAnsiTheme="minorEastAsia" w:eastAsiaTheme="minorEastAsia"/>
          <w:sz w:val="24"/>
        </w:rPr>
      </w:pP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所在地</w:t>
      </w: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商号又は名称　　　　　　　　　　　　　</w:t>
      </w:r>
    </w:p>
    <w:p>
      <w:pPr>
        <w:pStyle w:val="0"/>
        <w:ind w:right="928" w:firstLine="3382" w:firstLineChars="1417"/>
        <w:rPr>
          <w:rFonts w:hint="default" w:asciiTheme="minorEastAsia" w:hAnsiTheme="minorEastAsia" w:eastAsiaTheme="minorEastAsia"/>
          <w:sz w:val="24"/>
        </w:rPr>
      </w:pPr>
      <w:r>
        <w:rPr>
          <w:rFonts w:hint="eastAsia" w:asciiTheme="minorEastAsia" w:hAnsiTheme="minorEastAsia" w:eastAsiaTheme="minorEastAsia"/>
          <w:spacing w:val="26"/>
          <w:sz w:val="24"/>
        </w:rPr>
        <w:t>代表者役</w:t>
      </w:r>
      <w:r>
        <w:rPr>
          <w:rFonts w:hint="eastAsia" w:asciiTheme="minorEastAsia" w:hAnsiTheme="minorEastAsia" w:eastAsiaTheme="minorEastAsia"/>
          <w:sz w:val="24"/>
        </w:rPr>
        <w:t>職氏名　　　　　　　　　　　㊞</w:t>
      </w:r>
    </w:p>
    <w:p>
      <w:pPr>
        <w:pStyle w:val="0"/>
        <w:ind w:right="928"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（代理人氏名　　　　　　　　　　　㊞）</w:t>
      </w:r>
    </w:p>
    <w:p>
      <w:pPr>
        <w:pStyle w:val="0"/>
        <w:ind w:left="2455" w:leftChars="1248" w:right="928"/>
        <w:rPr>
          <w:rFonts w:hint="default" w:asciiTheme="minorEastAsia" w:hAnsiTheme="minorEastAsia" w:eastAsiaTheme="minorEastAsia"/>
          <w:sz w:val="24"/>
        </w:rPr>
      </w:pPr>
      <w:r>
        <w:rPr>
          <w:rFonts w:hint="eastAsia" w:asciiTheme="minorEastAsia" w:hAnsiTheme="minorEastAsia" w:eastAsiaTheme="minorEastAsia"/>
          <w:b w:val="1"/>
          <w:color w:val="FF0000"/>
          <w:sz w:val="24"/>
        </w:rPr>
        <w:t>＊初度の入札を代理人で行った場合は無効とする。</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大崎市契約規則を守り，下記金額をもって請負したいので入札いたします。</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11" behindDoc="0" locked="0" layoutInCell="1" hidden="0" allowOverlap="1">
                <wp:simplePos x="0" y="0"/>
                <wp:positionH relativeFrom="column">
                  <wp:posOffset>1518285</wp:posOffset>
                </wp:positionH>
                <wp:positionV relativeFrom="paragraph">
                  <wp:posOffset>60960</wp:posOffset>
                </wp:positionV>
                <wp:extent cx="180975" cy="552450"/>
                <wp:effectExtent l="635" t="635" r="29845" b="10795"/>
                <wp:wrapNone/>
                <wp:docPr id="1028" name="AutoShape 62"/>
                <a:graphic xmlns:a="http://schemas.openxmlformats.org/drawingml/2006/main">
                  <a:graphicData uri="http://schemas.microsoft.com/office/word/2010/wordprocessingShape">
                    <wps:wsp>
                      <wps:cNvPr id="1028" name="AutoShape 62"/>
                      <wps:cNvSpPr/>
                      <wps:spPr>
                        <a:xfrm>
                          <a:off x="0" y="0"/>
                          <a:ext cx="180975" cy="552450"/>
                        </a:xfrm>
                        <a:prstGeom prst="rightBrace">
                          <a:avLst>
                            <a:gd name="adj1" fmla="val 41170"/>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2" style="mso-wrap-distance-right:9pt;mso-wrap-distance-bottom:0pt;margin-top:4.8pt;mso-position-vertical-relative:text;mso-position-horizontal-relative:text;position:absolute;height:43.5pt;mso-wrap-distance-top:0pt;width:14.25pt;mso-wrap-distance-left:9pt;margin-left:119.55pt;z-index:11;"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Theme="minorEastAsia" w:hAnsiTheme="minorEastAsia" w:eastAsiaTheme="minorEastAsia"/>
          <w:sz w:val="24"/>
        </w:rPr>
        <w:t>　１　契約番号</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２　契約名　　　　　　</w:t>
      </w:r>
      <w:r>
        <w:rPr>
          <w:rFonts w:hint="eastAsia" w:asciiTheme="minorEastAsia" w:hAnsiTheme="minorEastAsia" w:eastAsiaTheme="minorEastAsia"/>
          <w:color w:val="FF0000"/>
          <w:sz w:val="24"/>
        </w:rPr>
        <w:t>入札公告に記載のあるとおりに記載</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３　履行場所</w:t>
      </w:r>
    </w:p>
    <w:tbl>
      <w:tblPr>
        <w:tblStyle w:val="11"/>
        <w:tblW w:w="0" w:type="auto"/>
        <w:tblInd w:w="-6" w:type="dxa"/>
        <w:tblLayout w:type="fixed"/>
        <w:tblCellMar>
          <w:left w:w="99" w:type="dxa"/>
          <w:right w:w="99" w:type="dxa"/>
        </w:tblCellMar>
        <w:tblLook w:firstRow="0" w:lastRow="0" w:firstColumn="0" w:lastColumn="0" w:noHBand="0" w:noVBand="0" w:val="0000"/>
      </w:tblPr>
      <w:tblGrid>
        <w:gridCol w:w="2090"/>
        <w:gridCol w:w="387"/>
        <w:gridCol w:w="387"/>
        <w:gridCol w:w="387"/>
        <w:gridCol w:w="387"/>
        <w:gridCol w:w="387"/>
        <w:gridCol w:w="387"/>
        <w:gridCol w:w="387"/>
        <w:gridCol w:w="387"/>
        <w:gridCol w:w="448"/>
        <w:gridCol w:w="425"/>
        <w:gridCol w:w="1134"/>
      </w:tblGrid>
      <w:tr>
        <w:trPr>
          <w:cantSplit/>
          <w:trHeight w:val="330" w:hRule="atLeast"/>
        </w:trPr>
        <w:tc>
          <w:tcPr>
            <w:tcW w:w="2090"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４　入札金額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1134"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090"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1134"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rPr>
          <w:rFonts w:hint="default" w:asciiTheme="minorEastAsia" w:hAnsiTheme="minorEastAsia" w:eastAsiaTheme="minorEastAsia"/>
          <w:sz w:val="24"/>
        </w:rPr>
      </w:pPr>
    </w:p>
    <w:tbl>
      <w:tblPr>
        <w:tblStyle w:val="11"/>
        <w:tblW w:w="0" w:type="auto"/>
        <w:tblInd w:w="-6" w:type="dxa"/>
        <w:tblLayout w:type="fixed"/>
        <w:tblCellMar>
          <w:left w:w="99" w:type="dxa"/>
          <w:right w:w="99" w:type="dxa"/>
        </w:tblCellMar>
        <w:tblLook w:firstRow="0" w:lastRow="0" w:firstColumn="0" w:lastColumn="0" w:noHBand="0" w:noVBand="0" w:val="0000"/>
      </w:tblPr>
      <w:tblGrid>
        <w:gridCol w:w="2515"/>
        <w:gridCol w:w="387"/>
        <w:gridCol w:w="387"/>
        <w:gridCol w:w="387"/>
        <w:gridCol w:w="387"/>
        <w:gridCol w:w="387"/>
        <w:gridCol w:w="387"/>
        <w:gridCol w:w="387"/>
        <w:gridCol w:w="387"/>
        <w:gridCol w:w="387"/>
        <w:gridCol w:w="857"/>
      </w:tblGrid>
      <w:tr>
        <w:trPr>
          <w:cantSplit/>
          <w:trHeight w:val="330" w:hRule="atLeast"/>
        </w:trPr>
        <w:tc>
          <w:tcPr>
            <w:tcW w:w="2515"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５　入札保証金</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857"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515"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除</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857"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widowControl w:val="1"/>
        <w:autoSpaceDE w:val="1"/>
        <w:autoSpaceDN w:val="1"/>
        <w:adjustRightInd w:val="1"/>
        <w:spacing w:line="240" w:lineRule="auto"/>
        <w:rPr>
          <w:rFonts w:hint="default" w:ascii="ＭＳ 明朝" w:hAnsi="ＭＳ 明朝" w:eastAsia="ＭＳ 明朝"/>
          <w:b w:val="1"/>
          <w:sz w:val="21"/>
        </w:rPr>
      </w:pPr>
      <w:r>
        <w:rPr>
          <w:rFonts w:hint="default" w:ascii="ＭＳ 明朝" w:hAnsi="ＭＳ 明朝" w:eastAsia="ＭＳ 明朝"/>
          <w:b w:val="1"/>
          <w:sz w:val="21"/>
        </w:rPr>
        <w:br w:type="page"/>
      </w:r>
    </w:p>
    <w:p>
      <w:pPr>
        <w:pStyle w:val="0"/>
        <w:kinsoku w:val="0"/>
        <w:spacing w:line="358" w:lineRule="exact"/>
        <w:jc w:val="both"/>
        <w:rPr>
          <w:rFonts w:hint="default" w:ascii="ＭＳ 明朝" w:hAnsi="ＭＳ 明朝" w:eastAsia="ＭＳ 明朝"/>
          <w:b w:val="1"/>
          <w:sz w:val="21"/>
        </w:rPr>
      </w:pP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102870</wp:posOffset>
                </wp:positionV>
                <wp:extent cx="5588000" cy="1929130"/>
                <wp:effectExtent l="635" t="635" r="29845" b="10795"/>
                <wp:wrapNone/>
                <wp:docPr id="1029" name="Text Box 53"/>
                <a:graphic xmlns:a="http://schemas.openxmlformats.org/drawingml/2006/main">
                  <a:graphicData uri="http://schemas.microsoft.com/office/word/2010/wordprocessingShape">
                    <wps:wsp>
                      <wps:cNvPr id="1029" name="Text Box 53"/>
                      <wps:cNvSpPr txBox="1">
                        <a:spLocks noChangeArrowheads="1"/>
                      </wps:cNvSpPr>
                      <wps:spPr>
                        <a:xfrm>
                          <a:off x="0" y="0"/>
                          <a:ext cx="5588000" cy="192913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53" style="mso-wrap-distance-right:9pt;mso-wrap-distance-bottom:0pt;margin-top:8.1pt;mso-position-vertical-relative:text;mso-position-horizontal-relative:text;v-text-anchor:top;position:absolute;height:151.9pt;mso-wrap-distance-top:0pt;width:440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8" behindDoc="0" locked="0" layoutInCell="1" hidden="0" allowOverlap="1">
                <wp:simplePos x="0" y="0"/>
                <wp:positionH relativeFrom="column">
                  <wp:posOffset>4540250</wp:posOffset>
                </wp:positionH>
                <wp:positionV relativeFrom="paragraph">
                  <wp:posOffset>41910</wp:posOffset>
                </wp:positionV>
                <wp:extent cx="1746250" cy="974090"/>
                <wp:effectExtent l="635" t="635" r="29845" b="10795"/>
                <wp:wrapNone/>
                <wp:docPr id="1030" name="Text Box 59"/>
                <a:graphic xmlns:a="http://schemas.openxmlformats.org/drawingml/2006/main">
                  <a:graphicData uri="http://schemas.microsoft.com/office/word/2010/wordprocessingShape">
                    <wps:wsp>
                      <wps:cNvPr id="1030" name="Text Box 59"/>
                      <wps:cNvSpPr txBox="1">
                        <a:spLocks noChangeArrowheads="1"/>
                      </wps:cNvSpPr>
                      <wps:spPr>
                        <a:xfrm>
                          <a:off x="0" y="0"/>
                          <a:ext cx="1746250" cy="974090"/>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9" style="mso-wrap-distance-right:9pt;mso-wrap-distance-bottom:0pt;margin-top:3.3pt;mso-position-vertical-relative:text;mso-position-horizontal-relative:text;v-text-anchor:top;position:absolute;height:76.7pt;mso-wrap-distance-top:0pt;width:137.5pt;mso-wrap-distance-left:9pt;margin-left:357.5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rPr>
        <mc:AlternateContent>
          <mc:Choice Requires="wps">
            <w:drawing>
              <wp:anchor distT="0" distB="0" distL="114300" distR="114300" simplePos="0" relativeHeight="3" behindDoc="0" locked="0" layoutInCell="0" hidden="0" allowOverlap="1">
                <wp:simplePos x="0" y="0"/>
                <wp:positionH relativeFrom="column">
                  <wp:align>center</wp:align>
                </wp:positionH>
                <wp:positionV relativeFrom="paragraph">
                  <wp:posOffset>194310</wp:posOffset>
                </wp:positionV>
                <wp:extent cx="3696970" cy="4577080"/>
                <wp:effectExtent l="635" t="635" r="29845" b="10795"/>
                <wp:wrapNone/>
                <wp:docPr id="1031" name="Text Box 54"/>
                <a:graphic xmlns:a="http://schemas.openxmlformats.org/drawingml/2006/main">
                  <a:graphicData uri="http://schemas.microsoft.com/office/word/2010/wordprocessingShape">
                    <wps:wsp>
                      <wps:cNvPr id="1031" name="Text Box 54"/>
                      <wps:cNvSpPr txBox="1">
                        <a:spLocks noChangeArrowheads="1"/>
                      </wps:cNvSpPr>
                      <wps:spPr>
                        <a:xfrm>
                          <a:off x="0" y="0"/>
                          <a:ext cx="3696970" cy="457708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4" style="mso-wrap-distance-right:9pt;mso-wrap-distance-bottom:0pt;margin-top:15.3pt;mso-position-vertical-relative:text;mso-position-horizontal:center;mso-position-horizontal-relative:text;v-text-anchor:top;position:absolute;height:360.4pt;mso-wrap-distance-top:0pt;width:291.10000000000002pt;mso-wrap-distance-left:9pt;z-index:3;" o:spid="_x0000_s1031" o:allowincell="f" o:allowoverlap="t" filled="t" fillcolor="#ffffff" stroked="t" strokecolor="#000000" strokeweight="1.5pt" o:spt="202" type="#_x0000_t202">
                <v:fill/>
                <v:stroke miterlimit="8" filltype="solid"/>
                <v:textbox style="layout-flow:horizontal;">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328295</wp:posOffset>
                </wp:positionV>
                <wp:extent cx="628650" cy="688340"/>
                <wp:effectExtent l="635" t="635" r="29845" b="10795"/>
                <wp:wrapNone/>
                <wp:docPr id="1032" name="Rectangle 55"/>
                <a:graphic xmlns:a="http://schemas.openxmlformats.org/drawingml/2006/main">
                  <a:graphicData uri="http://schemas.microsoft.com/office/word/2010/wordprocessingShape">
                    <wps:wsp>
                      <wps:cNvPr id="1032" name="Rectangle 5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55" style="mso-wrap-distance-right:9pt;mso-wrap-distance-bottom:0pt;margin-top:25.85pt;mso-position-vertical-relative:text;mso-position-horizontal-relative:text;position:absolute;height:54.2pt;mso-wrap-distance-top:0pt;width:49.5pt;mso-wrap-distance-left:9pt;margin-left:115.5pt;z-index:4;" o:spid="_x0000_s1032"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r>
        <w:rPr>
          <w:rFonts w:hint="eastAsia"/>
        </w:rPr>
        <mc:AlternateContent>
          <mc:Choice Requires="wps">
            <w:drawing>
              <wp:anchor distT="0" distB="0" distL="114300" distR="114300" simplePos="0" relativeHeight="6" behindDoc="0" locked="0" layoutInCell="1" hidden="0" allowOverlap="1">
                <wp:simplePos x="0" y="0"/>
                <wp:positionH relativeFrom="column">
                  <wp:posOffset>3771900</wp:posOffset>
                </wp:positionH>
                <wp:positionV relativeFrom="paragraph">
                  <wp:posOffset>3873500</wp:posOffset>
                </wp:positionV>
                <wp:extent cx="0" cy="290195"/>
                <wp:effectExtent l="36195" t="635" r="65405" b="10160"/>
                <wp:wrapNone/>
                <wp:docPr id="1033" name="Line 57"/>
                <a:graphic xmlns:a="http://schemas.openxmlformats.org/drawingml/2006/main">
                  <a:graphicData uri="http://schemas.microsoft.com/office/word/2010/wordprocessingShape">
                    <wps:wsp>
                      <wps:cNvPr id="1033" name="Line 57"/>
                      <wps:cNvSpPr>
                        <a:spLocks noChangeShapeType="1"/>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57" style="mso-wrap-distance-top:0pt;flip:x y;mso-wrap-distance-right:9pt;mso-wrap-distance-bottom:0pt;mso-position-vertical-relative:text;mso-position-horizontal-relative:text;position:absolute;mso-wrap-distance-left:9pt;z-index:6;" o:spid="_x0000_s1033" o:allowincell="t" o:allowoverlap="t" filled="f" stroked="t" strokecolor="#000000" strokeweight="0.75pt" o:spt="20" from="297pt,305pt" to="297pt,327.85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rPr>
        <mc:AlternateContent>
          <mc:Choice Requires="wps">
            <w:drawing>
              <wp:anchor distT="0" distB="0" distL="114300" distR="114300" simplePos="0" relativeHeight="7" behindDoc="0" locked="0" layoutInCell="1" hidden="0" allowOverlap="1">
                <wp:simplePos x="0" y="0"/>
                <wp:positionH relativeFrom="column">
                  <wp:posOffset>4260850</wp:posOffset>
                </wp:positionH>
                <wp:positionV relativeFrom="paragraph">
                  <wp:posOffset>210185</wp:posOffset>
                </wp:positionV>
                <wp:extent cx="1746250" cy="1845945"/>
                <wp:effectExtent l="635" t="635" r="29845" b="10795"/>
                <wp:wrapNone/>
                <wp:docPr id="1034" name="Text Box 58"/>
                <a:graphic xmlns:a="http://schemas.openxmlformats.org/drawingml/2006/main">
                  <a:graphicData uri="http://schemas.microsoft.com/office/word/2010/wordprocessingShape">
                    <wps:wsp>
                      <wps:cNvPr id="1034" name="Text Box 58"/>
                      <wps:cNvSpPr txBox="1">
                        <a:spLocks noChangeArrowheads="1"/>
                      </wps:cNvSpPr>
                      <wps:spPr>
                        <a:xfrm>
                          <a:off x="0" y="0"/>
                          <a:ext cx="1746250" cy="184594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80" w:lineRule="exact"/>
                              <w:ind w:left="362" w:hanging="362" w:hangingChars="200"/>
                              <w:rPr>
                                <w:rFonts w:hint="default" w:ascii="ＭＳ ゴシック" w:hAnsi="ＭＳ ゴシック" w:eastAsia="ＭＳ ゴシック"/>
                                <w:sz w:val="18"/>
                              </w:rPr>
                            </w:pPr>
                            <w:r>
                              <w:rPr>
                                <w:rFonts w:hint="eastAsia" w:eastAsia="ＭＳ ゴシック"/>
                                <w:sz w:val="18"/>
                              </w:rPr>
                              <w:t>２　</w:t>
                            </w:r>
                            <w:r>
                              <w:rPr>
                                <w:rFonts w:hint="eastAsia" w:ascii="ＭＳ ゴシック" w:hAnsi="ＭＳ ゴシック" w:eastAsia="ＭＳ ゴシック"/>
                                <w:color w:val="000000"/>
                                <w:sz w:val="18"/>
                              </w:rPr>
                              <w:t>総合評価方式・価格以外の総合評価技術資料（別記様式１）</w:t>
                            </w:r>
                          </w:p>
                          <w:p>
                            <w:pPr>
                              <w:pStyle w:val="0"/>
                              <w:spacing w:line="280" w:lineRule="exact"/>
                              <w:ind w:left="362" w:hanging="362" w:hangingChars="200"/>
                              <w:rPr>
                                <w:rFonts w:hint="default" w:ascii="ＭＳ ゴシック" w:hAnsi="ＭＳ ゴシック" w:eastAsia="ＭＳ ゴシック"/>
                                <w:sz w:val="18"/>
                              </w:rPr>
                            </w:pPr>
                            <w:r>
                              <w:rPr>
                                <w:rFonts w:hint="eastAsia" w:ascii="ＭＳ ゴシック" w:hAnsi="ＭＳ ゴシック" w:eastAsia="ＭＳ ゴシック"/>
                                <w:sz w:val="18"/>
                              </w:rPr>
                              <w:t>３　大崎市建設工事入札参加登録通知書の写し</w:t>
                            </w:r>
                          </w:p>
                          <w:p>
                            <w:pPr>
                              <w:pStyle w:val="0"/>
                              <w:spacing w:line="280" w:lineRule="exact"/>
                              <w:rPr>
                                <w:rFonts w:hint="default" w:ascii="ＭＳ ゴシック" w:hAnsi="ＭＳ ゴシック" w:eastAsia="ＭＳ ゴシック"/>
                              </w:rPr>
                            </w:pPr>
                            <w:r>
                              <w:rPr>
                                <w:rFonts w:hint="eastAsia" w:ascii="ＭＳ ゴシック" w:hAnsi="ＭＳ ゴシック" w:eastAsia="ＭＳ ゴシック"/>
                                <w:sz w:val="18"/>
                              </w:rPr>
                              <w:t>４　連絡担当者の名刺</w:t>
                            </w:r>
                          </w:p>
                          <w:p>
                            <w:pPr>
                              <w:pStyle w:val="0"/>
                              <w:spacing w:line="240" w:lineRule="auto"/>
                              <w:ind w:left="353" w:hanging="353" w:hangingChars="200"/>
                              <w:rPr>
                                <w:rFonts w:hint="default"/>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8" style="mso-wrap-distance-right:9pt;mso-wrap-distance-bottom:0pt;margin-top:16.55pt;mso-position-vertical-relative:text;mso-position-horizontal-relative:text;v-text-anchor:top;position:absolute;height:145.35pt;mso-wrap-distance-top:0pt;width:137.5pt;mso-wrap-distance-left:9pt;margin-left:335.5pt;z-index:7;" o:spid="_x0000_s1034"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80" w:lineRule="exact"/>
                        <w:ind w:left="362" w:hanging="362" w:hangingChars="200"/>
                        <w:rPr>
                          <w:rFonts w:hint="default" w:ascii="ＭＳ ゴシック" w:hAnsi="ＭＳ ゴシック" w:eastAsia="ＭＳ ゴシック"/>
                          <w:sz w:val="18"/>
                        </w:rPr>
                      </w:pPr>
                      <w:r>
                        <w:rPr>
                          <w:rFonts w:hint="eastAsia" w:eastAsia="ＭＳ ゴシック"/>
                          <w:sz w:val="18"/>
                        </w:rPr>
                        <w:t>２　</w:t>
                      </w:r>
                      <w:r>
                        <w:rPr>
                          <w:rFonts w:hint="eastAsia" w:ascii="ＭＳ ゴシック" w:hAnsi="ＭＳ ゴシック" w:eastAsia="ＭＳ ゴシック"/>
                          <w:color w:val="000000"/>
                          <w:sz w:val="18"/>
                        </w:rPr>
                        <w:t>総合評価方式・価格以外の総合評価技術資料（別記様式１）</w:t>
                      </w:r>
                    </w:p>
                    <w:p>
                      <w:pPr>
                        <w:pStyle w:val="0"/>
                        <w:spacing w:line="280" w:lineRule="exact"/>
                        <w:ind w:left="362" w:hanging="362" w:hangingChars="200"/>
                        <w:rPr>
                          <w:rFonts w:hint="default" w:ascii="ＭＳ ゴシック" w:hAnsi="ＭＳ ゴシック" w:eastAsia="ＭＳ ゴシック"/>
                          <w:sz w:val="18"/>
                        </w:rPr>
                      </w:pPr>
                      <w:r>
                        <w:rPr>
                          <w:rFonts w:hint="eastAsia" w:ascii="ＭＳ ゴシック" w:hAnsi="ＭＳ ゴシック" w:eastAsia="ＭＳ ゴシック"/>
                          <w:sz w:val="18"/>
                        </w:rPr>
                        <w:t>３　大崎市建設工事入札参加登録通知書の写し</w:t>
                      </w:r>
                    </w:p>
                    <w:p>
                      <w:pPr>
                        <w:pStyle w:val="0"/>
                        <w:spacing w:line="280" w:lineRule="exact"/>
                        <w:rPr>
                          <w:rFonts w:hint="default" w:ascii="ＭＳ ゴシック" w:hAnsi="ＭＳ ゴシック" w:eastAsia="ＭＳ ゴシック"/>
                        </w:rPr>
                      </w:pPr>
                      <w:r>
                        <w:rPr>
                          <w:rFonts w:hint="eastAsia" w:ascii="ＭＳ ゴシック" w:hAnsi="ＭＳ ゴシック" w:eastAsia="ＭＳ ゴシック"/>
                          <w:sz w:val="18"/>
                        </w:rPr>
                        <w:t>４　連絡担当者の名刺</w:t>
                      </w:r>
                    </w:p>
                    <w:p>
                      <w:pPr>
                        <w:pStyle w:val="0"/>
                        <w:spacing w:line="240" w:lineRule="auto"/>
                        <w:ind w:left="353" w:hanging="353" w:hangingChars="200"/>
                        <w:rPr>
                          <w:rFonts w:hint="default"/>
                        </w:rPr>
                      </w:pP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5" behindDoc="0" locked="0" layoutInCell="1" hidden="0" allowOverlap="1">
                <wp:simplePos x="0" y="0"/>
                <wp:positionH relativeFrom="column">
                  <wp:posOffset>1257300</wp:posOffset>
                </wp:positionH>
                <wp:positionV relativeFrom="paragraph">
                  <wp:posOffset>190500</wp:posOffset>
                </wp:positionV>
                <wp:extent cx="3562350" cy="1541145"/>
                <wp:effectExtent l="635" t="635" r="29845" b="10795"/>
                <wp:wrapNone/>
                <wp:docPr id="1035" name="Text Box 56"/>
                <a:graphic xmlns:a="http://schemas.openxmlformats.org/drawingml/2006/main">
                  <a:graphicData uri="http://schemas.microsoft.com/office/word/2010/wordprocessingShape">
                    <wps:wsp>
                      <wps:cNvPr id="1035" name="Text Box 56"/>
                      <wps:cNvSpPr txBox="1">
                        <a:spLocks noChangeArrowheads="1"/>
                      </wps:cNvSpPr>
                      <wps:spPr>
                        <a:xfrm>
                          <a:off x="0" y="0"/>
                          <a:ext cx="3562350" cy="1541145"/>
                        </a:xfrm>
                        <a:prstGeom prst="rect">
                          <a:avLst/>
                        </a:prstGeom>
                        <a:solidFill>
                          <a:srgbClr val="FFFFFF"/>
                        </a:solidFill>
                        <a:ln w="9525">
                          <a:solidFill>
                            <a:srgbClr val="000000"/>
                          </a:solidFill>
                          <a:miter lim="800000"/>
                          <a:headEnd/>
                          <a:tailEnd/>
                        </a:ln>
                      </wps:spPr>
                      <wps:txbx>
                        <w:txbxContent>
                          <w:p>
                            <w:pPr>
                              <w:pStyle w:val="0"/>
                              <w:spacing w:line="358" w:lineRule="exact"/>
                              <w:rPr>
                                <w:rFonts w:hint="default"/>
                                <w:color w:val="FF0000"/>
                                <w:sz w:val="24"/>
                              </w:rPr>
                            </w:pPr>
                            <w:r>
                              <w:rPr>
                                <w:rFonts w:hint="eastAsia"/>
                                <w:color w:val="FF0000"/>
                                <w:sz w:val="24"/>
                              </w:rPr>
                              <w:t>入札書在中</w:t>
                            </w:r>
                          </w:p>
                          <w:p>
                            <w:pPr>
                              <w:pStyle w:val="0"/>
                              <w:spacing w:line="358" w:lineRule="exact"/>
                              <w:rPr>
                                <w:rFonts w:hint="default"/>
                                <w:color w:val="FF0000"/>
                                <w:sz w:val="24"/>
                              </w:rPr>
                            </w:pP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6" style="mso-wrap-distance-right:9pt;mso-wrap-distance-bottom:0pt;margin-top:15pt;mso-position-vertical-relative:text;mso-position-horizontal-relative:text;v-text-anchor:top;position:absolute;height:121.35pt;mso-wrap-distance-top:0pt;width:280.5pt;mso-wrap-distance-left:9pt;margin-left:99pt;z-index:5;" o:spid="_x0000_s1035" o:allowincell="t" o:allowoverlap="t" filled="t" fillcolor="#ffffff" stroked="t" strokecolor="#000000" strokeweight="0.75pt" o:spt="202" type="#_x0000_t202">
                <v:fill/>
                <v:stroke miterlimit="8" filltype="solid"/>
                <v:textbox style="layout-flow:horizontal;">
                  <w:txbxContent>
                    <w:p>
                      <w:pPr>
                        <w:pStyle w:val="0"/>
                        <w:spacing w:line="358" w:lineRule="exact"/>
                        <w:rPr>
                          <w:rFonts w:hint="default"/>
                          <w:color w:val="FF0000"/>
                          <w:sz w:val="24"/>
                        </w:rPr>
                      </w:pPr>
                      <w:r>
                        <w:rPr>
                          <w:rFonts w:hint="eastAsia"/>
                          <w:color w:val="FF0000"/>
                          <w:sz w:val="24"/>
                        </w:rPr>
                        <w:t>入札書在中</w:t>
                      </w:r>
                    </w:p>
                    <w:p>
                      <w:pPr>
                        <w:pStyle w:val="0"/>
                        <w:spacing w:line="358" w:lineRule="exact"/>
                        <w:rPr>
                          <w:rFonts w:hint="default"/>
                          <w:color w:val="FF0000"/>
                          <w:sz w:val="24"/>
                        </w:rPr>
                      </w:pP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mc:AlternateContent>
          <mc:Choice Requires="wps">
            <w:drawing>
              <wp:anchor distT="0" distB="0" distL="114300" distR="114300" simplePos="0" relativeHeight="10" behindDoc="0" locked="0" layoutInCell="1" hidden="0" allowOverlap="1">
                <wp:simplePos x="0" y="0"/>
                <wp:positionH relativeFrom="column">
                  <wp:posOffset>3213100</wp:posOffset>
                </wp:positionH>
                <wp:positionV relativeFrom="paragraph">
                  <wp:posOffset>27940</wp:posOffset>
                </wp:positionV>
                <wp:extent cx="1257300" cy="259080"/>
                <wp:effectExtent l="635" t="635" r="29845" b="10795"/>
                <wp:wrapNone/>
                <wp:docPr id="1036" name="AutoShape 61"/>
                <a:graphic xmlns:a="http://schemas.openxmlformats.org/drawingml/2006/main">
                  <a:graphicData uri="http://schemas.microsoft.com/office/word/2010/wordprocessingShape">
                    <wps:wsp>
                      <wps:cNvPr id="1036" name="AutoShape 61"/>
                      <wps:cNvSpPr>
                        <a:spLocks noChangeArrowheads="1"/>
                      </wps:cNvSpPr>
                      <wps:spPr>
                        <a:xfrm>
                          <a:off x="0" y="0"/>
                          <a:ext cx="1257300" cy="259080"/>
                        </a:xfrm>
                        <a:prstGeom prst="flowChartAlternateProcess">
                          <a:avLst/>
                        </a:prstGeom>
                        <a:solidFill>
                          <a:srgbClr val="FFFFFF"/>
                        </a:solidFill>
                        <a:ln w="9525">
                          <a:solidFill>
                            <a:srgbClr val="000000"/>
                          </a:solidFill>
                          <a:miter lim="800000"/>
                          <a:headEnd/>
                          <a:tailEnd/>
                        </a:ln>
                      </wps:spPr>
                      <wps:txbx>
                        <w:txbxContent>
                          <w:p>
                            <w:pPr>
                              <w:pStyle w:val="0"/>
                              <w:rPr>
                                <w:rFonts w:hint="default"/>
                              </w:rPr>
                            </w:pPr>
                            <w:r>
                              <w:rPr>
                                <w:rFonts w:hint="eastAsia"/>
                              </w:rPr>
                              <w:t>朱書きのこと</w:t>
                            </w:r>
                          </w:p>
                        </w:txbxContent>
                      </wps:txbx>
                      <wps:bodyPr rot="0" vertOverflow="overflow" horzOverflow="overflow" wrap="square" lIns="74295" tIns="8890" rIns="74295" bIns="8890" anchor="t" anchorCtr="0"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1" style="mso-wrap-distance-right:9pt;mso-wrap-distance-bottom:0pt;margin-top:2.2000000000000002pt;mso-position-vertical-relative:text;mso-position-horizontal-relative:text;v-text-anchor:top;position:absolute;height:20.39pt;mso-wrap-distance-top:0pt;width:99pt;mso-wrap-distance-left:9pt;margin-left:253pt;z-index:10;" o:spid="_x0000_s1036" o:allowincell="t" o:allowoverlap="t" filled="t" fillcolor="#ffffff" stroked="t" strokecolor="#000000" strokeweight="0.75pt" o:spt="176" type="#_x0000_t176" adj="2700">
                <v:fill/>
                <v:stroke miterlimit="8" filltype="solid"/>
                <v:textbox style="layout-flow:horizontal;" inset="2.0637499999999998mm,0.24694444444444438mm,2.0637499999999998mm,0.24694444444444438mm">
                  <w:txbxContent>
                    <w:p>
                      <w:pPr>
                        <w:pStyle w:val="0"/>
                        <w:rPr>
                          <w:rFonts w:hint="default"/>
                        </w:rPr>
                      </w:pPr>
                      <w:r>
                        <w:rPr>
                          <w:rFonts w:hint="eastAsia"/>
                        </w:rPr>
                        <w:t>朱書きのこと</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rPr>
          <w:rFonts w:hint="default" w:asciiTheme="minorEastAsia" w:hAnsiTheme="minorEastAsia" w:eastAsiaTheme="minorEastAsia"/>
          <w:b w:val="1"/>
          <w:sz w:val="24"/>
        </w:rPr>
        <w:sectPr>
          <w:footerReference r:id="rId6" w:type="even"/>
          <w:footerReference r:id="rId7" w:type="default"/>
          <w:footnotePr>
            <w:numRestart w:val="eachSect"/>
          </w:footnotePr>
          <w:pgSz w:w="11906" w:h="16838"/>
          <w:pgMar w:top="1134" w:right="1134" w:bottom="1134" w:left="1134" w:header="720" w:footer="561" w:gutter="0"/>
          <w:pgNumType w:start="1"/>
          <w:cols w:space="720"/>
          <w:textDirection w:val="lrTb"/>
          <w:docGrid w:type="linesAndChars" w:linePitch="364" w:charSpace="-10918"/>
        </w:sectPr>
      </w:pPr>
    </w:p>
    <w:p>
      <w:pPr>
        <w:pStyle w:val="0"/>
        <w:overflowPunct w:val="0"/>
        <w:rPr>
          <w:rFonts w:hint="default" w:asciiTheme="minorEastAsia" w:hAnsiTheme="minorEastAsia" w:eastAsiaTheme="minorEastAsia"/>
          <w:b w:val="1"/>
          <w:sz w:val="24"/>
        </w:rPr>
      </w:pPr>
      <w:r>
        <w:rPr>
          <w:rFonts w:hint="eastAsia" w:asciiTheme="minorEastAsia" w:hAnsiTheme="minorEastAsia" w:eastAsiaTheme="minorEastAsia"/>
          <w:b w:val="1"/>
          <w:sz w:val="24"/>
        </w:rPr>
        <w:t>【</w:t>
      </w:r>
      <w:r>
        <w:rPr>
          <w:rFonts w:hint="eastAsia" w:asciiTheme="minorEastAsia" w:hAnsiTheme="minorEastAsia" w:eastAsiaTheme="minorEastAsia"/>
          <w:sz w:val="24"/>
        </w:rPr>
        <w:t>資格審査書類提出用】</w:t>
      </w: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rPr>
          <w:rFonts w:hint="default" w:asciiTheme="minorEastAsia" w:hAnsiTheme="minorEastAsia" w:eastAsiaTheme="minorEastAsia"/>
          <w:sz w:val="24"/>
        </w:rPr>
      </w:pPr>
    </w:p>
    <w:p>
      <w:pPr>
        <w:pStyle w:val="0"/>
        <w:wordWrap w:val="0"/>
        <w:overflowPunct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wordWrap w:val="0"/>
        <w:overflowPunct w:val="0"/>
        <w:ind w:right="5040"/>
        <w:rPr>
          <w:rFonts w:hint="default" w:asciiTheme="minorEastAsia" w:hAnsiTheme="minorEastAsia" w:eastAsiaTheme="minorEastAsia"/>
          <w:sz w:val="24"/>
        </w:rPr>
      </w:pPr>
    </w:p>
    <w:p>
      <w:pPr>
        <w:pStyle w:val="0"/>
        <w:overflowPunct w:val="0"/>
        <w:ind w:left="4347"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rPr>
          <w:rFonts w:hint="default" w:asciiTheme="minorEastAsia" w:hAnsiTheme="minorEastAsia" w:eastAsiaTheme="minorEastAsia"/>
          <w:sz w:val="24"/>
        </w:rPr>
      </w:pPr>
    </w:p>
    <w:p>
      <w:pPr>
        <w:pStyle w:val="0"/>
        <w:kinsoku w:val="0"/>
        <w:wordWrap w:val="0"/>
        <w:spacing w:line="358" w:lineRule="exact"/>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rPr>
          <w:rFonts w:hint="default" w:asciiTheme="minorEastAsia" w:hAnsiTheme="minorEastAsia" w:eastAsiaTheme="minorEastAsia"/>
          <w:sz w:val="24"/>
        </w:rPr>
      </w:pP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rPr>
          <w:rFonts w:hint="default"/>
        </w:rPr>
      </w:pPr>
    </w:p>
    <w:p>
      <w:pPr>
        <w:pStyle w:val="0"/>
        <w:wordWrap w:val="0"/>
        <w:overflowPunct w:val="0"/>
        <w:rPr>
          <w:rFonts w:hint="default"/>
        </w:rPr>
      </w:pPr>
    </w:p>
    <w:p>
      <w:pPr>
        <w:pStyle w:val="0"/>
        <w:wordWrap w:val="0"/>
        <w:overflowPunct w:val="0"/>
        <w:rPr>
          <w:rFonts w:hint="default"/>
        </w:rPr>
      </w:pPr>
    </w:p>
    <w:p>
      <w:pPr>
        <w:pStyle w:val="0"/>
        <w:widowControl w:val="1"/>
        <w:autoSpaceDE w:val="1"/>
        <w:autoSpaceDN w:val="1"/>
        <w:adjustRightInd w:val="1"/>
        <w:spacing w:line="240" w:lineRule="auto"/>
        <w:rPr>
          <w:rFonts w:hint="default" w:ascii="ＭＳ 明朝" w:hAnsi="ＭＳ 明朝" w:eastAsia="ＭＳ 明朝"/>
          <w:sz w:val="21"/>
        </w:rPr>
      </w:pPr>
      <w:r>
        <w:rPr>
          <w:rFonts w:hint="default" w:ascii="ＭＳ 明朝" w:hAnsi="ＭＳ 明朝" w:eastAsia="ＭＳ 明朝"/>
          <w:sz w:val="21"/>
        </w:rPr>
        <w:br w:type="page"/>
      </w:r>
    </w:p>
    <w:p>
      <w:pPr>
        <w:pStyle w:val="0"/>
        <w:wordWrap w:val="0"/>
        <w:jc w:val="center"/>
        <w:rPr>
          <w:rFonts w:hint="default" w:ascii="ＭＳ 明朝" w:hAnsi="ＭＳ 明朝" w:eastAsia="ＭＳ 明朝"/>
          <w:sz w:val="21"/>
        </w:rPr>
      </w:pPr>
      <w:r>
        <w:rPr>
          <w:rFonts w:hint="eastAsia" w:ascii="ＭＳ 明朝" w:hAnsi="ＭＳ 明朝" w:eastAsia="ＭＳ 明朝"/>
          <w:sz w:val="21"/>
        </w:rPr>
        <w:t>配置予定の技術者に関する調書</w:t>
      </w: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現　場　代　理　人</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rPr>
          <w:rFonts w:hint="default" w:ascii="ＭＳ 明朝" w:hAnsi="ＭＳ 明朝" w:eastAsia="ＭＳ 明朝"/>
          <w:sz w:val="21"/>
        </w:rPr>
      </w:pP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監理</w:t>
            </w:r>
            <w:r>
              <w:rPr>
                <w:rFonts w:hint="eastAsia" w:ascii="ＭＳ 明朝" w:hAnsi="ＭＳ 明朝" w:eastAsia="ＭＳ 明朝"/>
                <w:spacing w:val="40"/>
                <w:sz w:val="21"/>
              </w:rPr>
              <w:t>(</w:t>
            </w:r>
            <w:r>
              <w:rPr>
                <w:rFonts w:hint="eastAsia" w:ascii="ＭＳ 明朝" w:hAnsi="ＭＳ 明朝" w:eastAsia="ＭＳ 明朝"/>
                <w:spacing w:val="40"/>
                <w:sz w:val="21"/>
              </w:rPr>
              <w:t>主任</w:t>
            </w:r>
            <w:r>
              <w:rPr>
                <w:rFonts w:hint="eastAsia" w:ascii="ＭＳ 明朝" w:hAnsi="ＭＳ 明朝" w:eastAsia="ＭＳ 明朝"/>
                <w:spacing w:val="40"/>
                <w:sz w:val="21"/>
              </w:rPr>
              <w:t>)</w:t>
            </w:r>
            <w:r>
              <w:rPr>
                <w:rFonts w:hint="eastAsia" w:ascii="ＭＳ 明朝" w:hAnsi="ＭＳ 明朝" w:eastAsia="ＭＳ 明朝"/>
                <w:spacing w:val="40"/>
                <w:sz w:val="21"/>
              </w:rPr>
              <w:t>技術</w:t>
            </w:r>
            <w:r>
              <w:rPr>
                <w:rFonts w:hint="eastAsia" w:ascii="ＭＳ 明朝" w:hAnsi="ＭＳ 明朝" w:eastAsia="ＭＳ 明朝"/>
                <w:sz w:val="21"/>
              </w:rPr>
              <w:t>者</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spacing w:before="189" w:beforeLines="50" w:beforeAutospacing="0" w:line="260" w:lineRule="exact"/>
        <w:ind w:left="1258" w:right="971" w:rightChars="403" w:hanging="629"/>
        <w:rPr>
          <w:rFonts w:hint="default" w:asciiTheme="minorEastAsia" w:hAnsiTheme="minorEastAsia" w:eastAsiaTheme="minorEastAsia"/>
          <w:sz w:val="22"/>
        </w:rPr>
      </w:pPr>
      <w:r>
        <w:rPr>
          <w:rFonts w:hint="eastAsia" w:asciiTheme="minorEastAsia" w:hAnsiTheme="minorEastAsia" w:eastAsiaTheme="minorEastAsia"/>
          <w:sz w:val="22"/>
        </w:rPr>
        <w:t>注１　監理</w:t>
      </w:r>
      <w:r>
        <w:rPr>
          <w:rFonts w:hint="eastAsia" w:asciiTheme="minorEastAsia" w:hAnsiTheme="minorEastAsia" w:eastAsiaTheme="minorEastAsia"/>
          <w:sz w:val="22"/>
        </w:rPr>
        <w:t>(</w:t>
      </w:r>
      <w:r>
        <w:rPr>
          <w:rFonts w:hint="eastAsia" w:asciiTheme="minorEastAsia" w:hAnsiTheme="minorEastAsia" w:eastAsiaTheme="minorEastAsia"/>
          <w:sz w:val="22"/>
        </w:rPr>
        <w:t>主任</w:t>
      </w:r>
      <w:r>
        <w:rPr>
          <w:rFonts w:hint="eastAsia" w:asciiTheme="minorEastAsia" w:hAnsiTheme="minorEastAsia" w:eastAsiaTheme="minorEastAsia"/>
          <w:sz w:val="22"/>
        </w:rPr>
        <w:t>)</w:t>
      </w:r>
      <w:r>
        <w:rPr>
          <w:rFonts w:hint="eastAsia" w:asciiTheme="minorEastAsia" w:hAnsiTheme="minorEastAsia" w:eastAsiaTheme="minorEastAsia"/>
          <w:sz w:val="22"/>
        </w:rPr>
        <w:t>技術者と現場代理人が同一の場合は，現場代理人の欄にのみ記入してください。</w:t>
      </w:r>
    </w:p>
    <w:p>
      <w:pPr>
        <w:pStyle w:val="0"/>
        <w:wordWrap w:val="0"/>
        <w:spacing w:before="189" w:beforeLines="50" w:beforeAutospacing="0" w:line="260" w:lineRule="exact"/>
        <w:ind w:left="1258" w:right="971" w:rightChars="403" w:hanging="629"/>
        <w:rPr>
          <w:rFonts w:hint="default" w:asciiTheme="minorEastAsia" w:hAnsiTheme="minorEastAsia" w:eastAsiaTheme="minorEastAsia"/>
          <w:sz w:val="22"/>
        </w:rPr>
      </w:pPr>
      <w:r>
        <w:rPr>
          <w:rFonts w:hint="eastAsia" w:asciiTheme="minorEastAsia" w:hAnsiTheme="minorEastAsia" w:eastAsiaTheme="minorEastAsia"/>
          <w:sz w:val="22"/>
        </w:rPr>
        <w:t>注２</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工事経験の欄には，別記様式１　同種工事の要件で明示した工種を含む工事の実績を記入してください。</w:t>
      </w:r>
    </w:p>
    <w:p>
      <w:pPr>
        <w:pStyle w:val="0"/>
        <w:wordWrap w:val="0"/>
        <w:spacing w:line="260" w:lineRule="exact"/>
        <w:ind w:left="993" w:leftChars="250" w:hanging="391" w:hangingChars="150"/>
        <w:rPr>
          <w:rFonts w:hint="default" w:asciiTheme="minorEastAsia" w:hAnsiTheme="minorEastAsia" w:eastAsiaTheme="minorEastAsia"/>
          <w:sz w:val="22"/>
        </w:rPr>
      </w:pPr>
    </w:p>
    <w:p>
      <w:pPr>
        <w:pStyle w:val="0"/>
        <w:wordWrap w:val="0"/>
        <w:spacing w:line="260" w:lineRule="exact"/>
        <w:ind w:left="993" w:leftChars="250" w:hanging="391" w:hangingChars="150"/>
        <w:rPr>
          <w:rFonts w:hint="default" w:asciiTheme="minorEastAsia" w:hAnsiTheme="minorEastAsia" w:eastAsiaTheme="minorEastAsia"/>
          <w:sz w:val="22"/>
        </w:rPr>
      </w:pPr>
      <w:r>
        <w:rPr>
          <w:rFonts w:hint="eastAsia" w:asciiTheme="minorEastAsia" w:hAnsiTheme="minorEastAsia" w:eastAsiaTheme="minorEastAsia"/>
          <w:sz w:val="22"/>
        </w:rPr>
        <w:t>注３　免許証等の写しを添付してください。</w:t>
      </w: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idowControl w:val="1"/>
        <w:autoSpaceDE w:val="1"/>
        <w:autoSpaceDN w:val="1"/>
        <w:adjustRightInd w:val="1"/>
        <w:spacing w:line="240" w:lineRule="auto"/>
        <w:rPr>
          <w:rFonts w:hint="default"/>
          <w:sz w:val="21"/>
        </w:rPr>
      </w:pPr>
      <w:r>
        <w:rPr>
          <w:rFonts w:hint="default"/>
          <w:sz w:val="21"/>
        </w:rPr>
        <w:br w:type="page"/>
      </w:r>
    </w:p>
    <w:p>
      <w:pPr>
        <w:pStyle w:val="0"/>
        <w:ind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p>
      <w:pPr>
        <w:pStyle w:val="0"/>
        <w:rPr>
          <w:rFonts w:hint="default" w:asciiTheme="minorEastAsia" w:hAnsiTheme="minorEastAsia" w:eastAsiaTheme="minorEastAsia"/>
          <w:sz w:val="22"/>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4"/>
              </w:rPr>
              <w:t>所在</w:t>
            </w:r>
            <w:r>
              <w:rPr>
                <w:rFonts w:hint="eastAsia" w:asciiTheme="minorEastAsia" w:hAnsiTheme="minorEastAsia" w:eastAsiaTheme="minorEastAsia"/>
                <w:spacing w:val="1"/>
                <w:sz w:val="22"/>
                <w:fitText w:val="1547" w:id="4"/>
              </w:rPr>
              <w:t>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5"/>
              </w:rPr>
              <w:t>商号又は名</w:t>
            </w:r>
            <w:r>
              <w:rPr>
                <w:rFonts w:hint="eastAsia" w:asciiTheme="minorEastAsia" w:hAnsiTheme="minorEastAsia" w:eastAsiaTheme="minorEastAsia"/>
                <w:spacing w:val="3"/>
                <w:sz w:val="22"/>
                <w:fitText w:val="1547" w:id="5"/>
              </w:rPr>
              <w:t>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37"/>
                <w:sz w:val="22"/>
                <w:fitText w:val="1105" w:id="6"/>
              </w:rPr>
              <w:t>契約番</w:t>
            </w:r>
            <w:r>
              <w:rPr>
                <w:rFonts w:hint="eastAsia" w:asciiTheme="minorEastAsia" w:hAnsiTheme="minorEastAsia" w:eastAsiaTheme="minorEastAsia"/>
                <w:spacing w:val="1"/>
                <w:sz w:val="22"/>
                <w:fitText w:val="1105" w:id="6"/>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111"/>
                <w:sz w:val="22"/>
                <w:fitText w:val="1105" w:id="7"/>
              </w:rPr>
              <w:t>契約</w:t>
            </w:r>
            <w:r>
              <w:rPr>
                <w:rFonts w:hint="eastAsia" w:asciiTheme="minorEastAsia" w:hAnsiTheme="minorEastAsia" w:eastAsiaTheme="minorEastAsia"/>
                <w:spacing w:val="0"/>
                <w:sz w:val="22"/>
                <w:fitText w:val="1105" w:id="7"/>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回答事項</w:t>
            </w:r>
          </w:p>
        </w:tc>
      </w:tr>
      <w:tr>
        <w:trPr>
          <w:trHeight w:val="6906"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82" w:leftChars="200"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4108"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966" w:leftChars="2061"/>
              <w:rPr>
                <w:rFonts w:hint="default" w:asciiTheme="minorEastAsia" w:hAnsiTheme="minorEastAsia" w:eastAsiaTheme="minorEastAsia"/>
                <w:sz w:val="22"/>
              </w:rPr>
            </w:pPr>
            <w:r>
              <w:rPr>
                <w:rFonts w:hint="eastAsia" w:asciiTheme="minorEastAsia" w:hAnsiTheme="minorEastAsia" w:eastAsiaTheme="minorEastAsia"/>
                <w:sz w:val="22"/>
              </w:rPr>
              <w:t>（公印省略）</w:t>
            </w:r>
          </w:p>
        </w:tc>
      </w:tr>
    </w:tbl>
    <w:p>
      <w:pPr>
        <w:pStyle w:val="0"/>
        <w:kinsoku w:val="0"/>
        <w:spacing w:line="358" w:lineRule="exact"/>
        <w:ind w:firstLine="522" w:firstLineChars="200"/>
        <w:rPr>
          <w:rFonts w:hint="default" w:asciiTheme="minorEastAsia" w:hAnsiTheme="minorEastAsia" w:eastAsiaTheme="minorEastAsia"/>
          <w:sz w:val="22"/>
        </w:rPr>
      </w:pPr>
      <w:r>
        <w:rPr>
          <w:rFonts w:hint="eastAsia" w:asciiTheme="minorEastAsia" w:hAnsiTheme="minorEastAsia" w:eastAsiaTheme="minorEastAsia"/>
          <w:sz w:val="22"/>
        </w:rPr>
        <w:t>※　回答事項を閲覧に供するときは，質問者名を公表しないこと。</w:t>
      </w:r>
    </w:p>
    <w:p>
      <w:pPr>
        <w:rPr>
          <w:rFonts w:hint="default" w:asciiTheme="minorEastAsia" w:hAnsiTheme="minorEastAsia" w:eastAsiaTheme="minorEastAsia"/>
          <w:sz w:val="22"/>
        </w:rPr>
        <w:sectPr>
          <w:footnotePr>
            <w:numRestart w:val="eachSect"/>
          </w:footnotePr>
          <w:pgSz w:w="11906" w:h="16838"/>
          <w:pgMar w:top="851" w:right="1134" w:bottom="851" w:left="1134" w:header="720" w:footer="561" w:gutter="0"/>
          <w:cols w:space="720"/>
          <w:textDirection w:val="lrTb"/>
          <w:docGrid w:type="linesAndChars" w:linePitch="378" w:charSpace="-1854"/>
        </w:sectPr>
      </w:pPr>
    </w:p>
    <w:p>
      <w:pPr>
        <w:pStyle w:val="0"/>
        <w:kinsoku w:val="0"/>
        <w:spacing w:line="358" w:lineRule="exact"/>
        <w:ind w:firstLine="1696"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大崎市総務部財政課　Ｅメ－ル　</w:t>
      </w:r>
      <w:r>
        <w:rPr>
          <w:rFonts w:hint="eastAsia" w:asciiTheme="minorEastAsia" w:hAnsiTheme="minorEastAsia" w:eastAsiaTheme="minorEastAsia"/>
          <w:sz w:val="22"/>
        </w:rPr>
        <w:t>zaisei@city.osaki.miyagi.jp</w:t>
      </w:r>
    </w:p>
    <w:p>
      <w:pPr>
        <w:pStyle w:val="0"/>
        <w:kinsoku w:val="0"/>
        <w:spacing w:line="358" w:lineRule="exact"/>
        <w:ind w:firstLine="1044"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件名に「入札質問」と入力のうえ送信</w:t>
      </w:r>
    </w:p>
    <w:p>
      <w:pPr>
        <w:pStyle w:val="0"/>
        <w:kinsoku w:val="0"/>
        <w:spacing w:line="358" w:lineRule="exact"/>
        <w:jc w:val="left"/>
        <w:rPr>
          <w:rFonts w:hint="default" w:asciiTheme="minorEastAsia" w:hAnsiTheme="minorEastAsia" w:eastAsiaTheme="minorEastAsia"/>
        </w:rPr>
      </w:pPr>
      <w:r>
        <w:rPr>
          <w:rFonts w:hint="eastAsia" w:asciiTheme="minorEastAsia" w:hAnsiTheme="minorEastAsia" w:eastAsiaTheme="minorEastAsia"/>
          <w:sz w:val="22"/>
        </w:rPr>
        <w:t>　　　　メ－ル送信が不可の場合は，大崎市総務部財政課</w:t>
      </w:r>
      <w:r>
        <w:rPr>
          <w:rFonts w:hint="eastAsia" w:asciiTheme="minorEastAsia" w:hAnsiTheme="minorEastAsia" w:eastAsiaTheme="minorEastAsia"/>
          <w:sz w:val="22"/>
        </w:rPr>
        <w:t>(0229-23-5177)</w:t>
      </w:r>
      <w:r>
        <w:rPr>
          <w:rFonts w:hint="eastAsia" w:asciiTheme="minorEastAsia" w:hAnsiTheme="minorEastAsia" w:eastAsiaTheme="minorEastAsia"/>
          <w:sz w:val="22"/>
        </w:rPr>
        <w:t>へ連絡</w:t>
      </w:r>
    </w:p>
    <w:p>
      <w:pPr>
        <w:pStyle w:val="0"/>
        <w:kinsoku w:val="0"/>
        <w:spacing w:line="358" w:lineRule="exact"/>
        <w:jc w:val="left"/>
        <w:rPr>
          <w:rFonts w:hint="default" w:asciiTheme="minorEastAsia" w:hAnsiTheme="minorEastAsia" w:eastAsiaTheme="minorEastAsia"/>
        </w:rPr>
      </w:pPr>
    </w:p>
    <w:p>
      <w:pPr>
        <w:pStyle w:val="0"/>
        <w:kinsoku w:val="0"/>
        <w:spacing w:line="358" w:lineRule="exact"/>
        <w:jc w:val="left"/>
        <w:rPr>
          <w:rFonts w:hint="default" w:asciiTheme="minorEastAsia" w:hAnsiTheme="minorEastAsia" w:eastAsiaTheme="minorEastAsia"/>
        </w:rPr>
      </w:pPr>
    </w:p>
    <w:p>
      <w:pPr>
        <w:pStyle w:val="0"/>
        <w:kinsoku w:val="0"/>
        <w:spacing w:line="358" w:lineRule="exact"/>
        <w:jc w:val="left"/>
        <w:rPr>
          <w:rFonts w:hint="default" w:asciiTheme="minorEastAsia" w:hAnsiTheme="minorEastAsia" w:eastAsiaTheme="minorEastAsia"/>
        </w:rPr>
      </w:pPr>
    </w:p>
    <w:p>
      <w:pPr>
        <w:pStyle w:val="0"/>
        <w:rPr>
          <w:rFonts w:hint="eastAsia" w:asciiTheme="minorEastAsia" w:hAnsiTheme="minorEastAsia" w:eastAsiaTheme="minorEastAsia"/>
          <w:sz w:val="22"/>
        </w:rPr>
      </w:pPr>
      <w:r>
        <w:rPr>
          <w:rFonts w:hint="eastAsia"/>
          <w:b w:val="1"/>
        </w:rPr>
        <mc:AlternateContent>
          <mc:Choice Requires="wps">
            <w:drawing>
              <wp:anchor distT="0" distB="0" distL="114300" distR="114300" simplePos="0" relativeHeight="14" behindDoc="0" locked="0" layoutInCell="1" hidden="0" allowOverlap="1">
                <wp:simplePos x="0" y="0"/>
                <wp:positionH relativeFrom="column">
                  <wp:posOffset>4918710</wp:posOffset>
                </wp:positionH>
                <wp:positionV relativeFrom="paragraph">
                  <wp:posOffset>41275</wp:posOffset>
                </wp:positionV>
                <wp:extent cx="1257300" cy="314325"/>
                <wp:effectExtent l="0" t="0" r="635" b="635"/>
                <wp:wrapNone/>
                <wp:docPr id="1037" name="Text Box 35"/>
                <a:graphic xmlns:a="http://schemas.openxmlformats.org/drawingml/2006/main">
                  <a:graphicData uri="http://schemas.microsoft.com/office/word/2010/wordprocessingShape">
                    <wps:wsp>
                      <wps:cNvPr id="1037" name="Text Box 35"/>
                      <wps:cNvSpPr txBox="1">
                        <a:spLocks noChangeArrowheads="1"/>
                      </wps:cNvSpPr>
                      <wps:spPr>
                        <a:xfrm>
                          <a:off x="0" y="0"/>
                          <a:ext cx="1257300" cy="314325"/>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（入札時提出用）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35" style="mso-wrap-distance-right:9pt;mso-wrap-distance-bottom:0pt;margin-top:3.25pt;mso-position-vertical-relative:text;mso-position-horizontal-relative:text;v-text-anchor:top;position:absolute;height:24.75pt;mso-wrap-distance-top:0pt;width:99pt;mso-wrap-distance-left:9pt;margin-left:387.3pt;z-index:14;" o:spid="_x0000_s1037"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（入札時提出用）</w:t>
                      </w:r>
                    </w:p>
                  </w:txbxContent>
                </v:textbox>
                <v:imagedata o:title=""/>
                <w10:wrap type="none" anchorx="text" anchory="text"/>
              </v:shape>
            </w:pict>
          </mc:Fallback>
        </mc:AlternateContent>
      </w:r>
      <w:r>
        <w:rPr>
          <w:rFonts w:hint="eastAsia" w:asciiTheme="minorEastAsia" w:hAnsiTheme="minorEastAsia" w:eastAsiaTheme="minorEastAsia"/>
          <w:sz w:val="22"/>
        </w:rPr>
        <w:t>別記様式１</w:t>
      </w:r>
    </w:p>
    <w:p>
      <w:pPr>
        <w:pStyle w:val="0"/>
        <w:jc w:val="center"/>
        <w:rPr>
          <w:rFonts w:hint="eastAsia" w:asciiTheme="minorEastAsia" w:hAnsiTheme="minorEastAsia" w:eastAsiaTheme="minorEastAsia"/>
          <w:b w:val="1"/>
          <w:sz w:val="22"/>
        </w:rPr>
      </w:pPr>
      <w:r>
        <w:rPr>
          <w:rFonts w:hint="eastAsia" w:asciiTheme="minorEastAsia" w:hAnsiTheme="minorEastAsia" w:eastAsiaTheme="minorEastAsia"/>
          <w:b w:val="1"/>
          <w:sz w:val="22"/>
        </w:rPr>
        <w:t>大崎市総合評価方式・価格以外の総合評価技術資料</w:t>
      </w:r>
    </w:p>
    <w:p>
      <w:pPr>
        <w:pStyle w:val="0"/>
        <w:spacing w:line="0" w:lineRule="atLeast"/>
        <w:ind w:left="513" w:leftChars="113" w:hanging="241" w:hangingChars="100"/>
        <w:rPr>
          <w:rFonts w:hint="eastAsia" w:asciiTheme="minorEastAsia" w:hAnsiTheme="minorEastAsia" w:eastAsiaTheme="minorEastAsia"/>
          <w:sz w:val="22"/>
          <w:u w:val="single" w:color="auto"/>
        </w:rPr>
      </w:pPr>
      <w:r>
        <w:rPr>
          <w:rFonts w:hint="eastAsia" w:asciiTheme="minorEastAsia" w:hAnsiTheme="minorEastAsia" w:eastAsiaTheme="minorEastAsia"/>
          <w:sz w:val="22"/>
          <w:u w:val="single" w:color="auto"/>
        </w:rPr>
        <w:t>工事番号：</w:t>
      </w:r>
      <w:r>
        <w:rPr>
          <w:rFonts w:hint="eastAsia" w:asciiTheme="minorEastAsia" w:hAnsiTheme="minorEastAsia" w:eastAsiaTheme="minorEastAsia"/>
          <w:sz w:val="22"/>
          <w:u w:val="single" w:color="auto"/>
        </w:rPr>
        <w:t xml:space="preserve"> 2025001120</w:t>
      </w:r>
      <w:r>
        <w:rPr>
          <w:rFonts w:hint="eastAsia" w:asciiTheme="minorEastAsia" w:hAnsiTheme="minorEastAsia" w:eastAsiaTheme="minorEastAsia"/>
          <w:sz w:val="22"/>
          <w:u w:val="single" w:color="auto"/>
        </w:rPr>
        <w:t>　</w:t>
      </w:r>
    </w:p>
    <w:p>
      <w:pPr>
        <w:pStyle w:val="0"/>
        <w:kinsoku w:val="0"/>
        <w:wordWrap w:val="0"/>
        <w:spacing w:line="358" w:lineRule="exact"/>
        <w:ind w:firstLine="241" w:firstLineChars="100"/>
        <w:rPr>
          <w:rFonts w:hint="eastAsia" w:asciiTheme="minorEastAsia" w:hAnsiTheme="minorEastAsia" w:eastAsiaTheme="minorEastAsia"/>
          <w:sz w:val="22"/>
          <w:u w:val="single" w:color="auto"/>
        </w:rPr>
      </w:pPr>
      <w:r>
        <w:rPr>
          <w:rFonts w:hint="eastAsia" w:asciiTheme="minorEastAsia" w:hAnsiTheme="minorEastAsia" w:eastAsiaTheme="minorEastAsia"/>
          <w:sz w:val="22"/>
          <w:u w:val="single" w:color="auto"/>
        </w:rPr>
        <w:t>工事名　：</w:t>
      </w:r>
      <w:r>
        <w:rPr>
          <w:rFonts w:hint="eastAsia" w:asciiTheme="minorEastAsia" w:hAnsiTheme="minorEastAsia" w:eastAsiaTheme="minorEastAsia"/>
          <w:sz w:val="22"/>
          <w:u w:val="single" w:color="auto"/>
        </w:rPr>
        <w:t xml:space="preserve"> </w:t>
      </w:r>
      <w:r>
        <w:rPr>
          <w:rFonts w:hint="eastAsia" w:asciiTheme="minorEastAsia" w:hAnsiTheme="minorEastAsia" w:eastAsiaTheme="minorEastAsia"/>
          <w:sz w:val="22"/>
          <w:u w:val="single" w:color="auto"/>
        </w:rPr>
        <w:t>旧鳴子総合支所庁舎解体及び土留工事　</w:t>
      </w:r>
    </w:p>
    <w:p>
      <w:pPr>
        <w:pStyle w:val="0"/>
        <w:kinsoku w:val="0"/>
        <w:wordWrap w:val="0"/>
        <w:spacing w:line="358" w:lineRule="exact"/>
        <w:ind w:firstLine="241" w:firstLineChars="100"/>
        <w:rPr>
          <w:rFonts w:hint="eastAsia" w:asciiTheme="minorEastAsia" w:hAnsiTheme="minorEastAsia" w:eastAsiaTheme="minorEastAsia"/>
          <w:sz w:val="22"/>
          <w:u w:val="single" w:color="auto"/>
        </w:rPr>
      </w:pPr>
      <w:r>
        <w:rPr>
          <w:rFonts w:hint="eastAsia" w:asciiTheme="minorEastAsia" w:hAnsiTheme="minorEastAsia" w:eastAsiaTheme="minorEastAsia"/>
          <w:sz w:val="22"/>
          <w:u w:val="single" w:color="auto"/>
        </w:rPr>
        <w:t>住所又は所在地　　　　　　　　　　　　　　　　　　　　　　　　　　</w:t>
      </w:r>
    </w:p>
    <w:p>
      <w:pPr>
        <w:pStyle w:val="0"/>
        <w:ind w:firstLine="241" w:firstLineChars="100"/>
        <w:rPr>
          <w:rFonts w:hint="eastAsia" w:asciiTheme="minorEastAsia" w:hAnsiTheme="minorEastAsia" w:eastAsiaTheme="minorEastAsia"/>
          <w:sz w:val="22"/>
          <w:u w:val="single" w:color="auto"/>
        </w:rPr>
      </w:pPr>
      <w:r>
        <w:rPr>
          <w:rFonts w:hint="eastAsia" w:asciiTheme="minorEastAsia" w:hAnsiTheme="minorEastAsia" w:eastAsiaTheme="minorEastAsia"/>
          <w:sz w:val="22"/>
          <w:u w:val="single" w:color="auto"/>
        </w:rPr>
        <w:t>会社名　　　　　　　　　　　　　　　　　　　　　　　　　　　　　　</w:t>
      </w:r>
    </w:p>
    <w:p>
      <w:pPr>
        <w:pStyle w:val="0"/>
        <w:ind w:firstLine="241" w:firstLineChars="100"/>
        <w:rPr>
          <w:rFonts w:hint="eastAsia" w:asciiTheme="minorEastAsia" w:hAnsiTheme="minorEastAsia" w:eastAsiaTheme="minorEastAsia"/>
          <w:sz w:val="22"/>
          <w:u w:val="single" w:color="auto"/>
        </w:rPr>
      </w:pPr>
      <w:r>
        <w:rPr>
          <w:rFonts w:hint="eastAsia" w:asciiTheme="minorEastAsia" w:hAnsiTheme="minorEastAsia" w:eastAsiaTheme="minorEastAsia"/>
          <w:sz w:val="22"/>
          <w:u w:val="single" w:color="auto"/>
        </w:rPr>
        <w:t>代表者名　　　　　　　　　　　　　　　　　　　　　　　　　　　　印</w:t>
      </w:r>
    </w:p>
    <w:tbl>
      <w:tblPr>
        <w:tblStyle w:val="11"/>
        <w:tblW w:w="1006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82"/>
        <w:gridCol w:w="1687"/>
        <w:gridCol w:w="2410"/>
        <w:gridCol w:w="2651"/>
        <w:gridCol w:w="850"/>
        <w:gridCol w:w="992"/>
        <w:gridCol w:w="993"/>
      </w:tblGrid>
      <w:tr>
        <w:trPr>
          <w:trHeight w:val="375" w:hRule="atLeast"/>
        </w:trPr>
        <w:tc>
          <w:tcPr>
            <w:tcW w:w="216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評価項目</w:t>
            </w:r>
          </w:p>
        </w:tc>
        <w:tc>
          <w:tcPr>
            <w:tcW w:w="241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評価内容</w:t>
            </w:r>
          </w:p>
        </w:tc>
        <w:tc>
          <w:tcPr>
            <w:tcW w:w="2651"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評価基準</w:t>
            </w:r>
          </w:p>
        </w:tc>
        <w:tc>
          <w:tcPr>
            <w:tcW w:w="85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配</w:t>
            </w:r>
          </w:p>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点</w:t>
            </w:r>
          </w:p>
        </w:tc>
        <w:tc>
          <w:tcPr>
            <w:tcW w:w="992"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応札者</w:t>
            </w:r>
          </w:p>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記入欄</w:t>
            </w:r>
          </w:p>
        </w:tc>
        <w:tc>
          <w:tcPr>
            <w:tcW w:w="993"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発注者採点欄</w:t>
            </w:r>
          </w:p>
        </w:tc>
      </w:tr>
      <w:tr>
        <w:trPr>
          <w:trHeight w:val="454" w:hRule="atLeast"/>
        </w:trPr>
        <w:tc>
          <w:tcPr>
            <w:tcW w:w="482"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center"/>
          </w:tcPr>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施</w:t>
            </w:r>
          </w:p>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工</w:t>
            </w:r>
          </w:p>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能</w:t>
            </w:r>
          </w:p>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力</w:t>
            </w:r>
          </w:p>
          <w:p>
            <w:pPr>
              <w:pStyle w:val="0"/>
              <w:spacing w:line="300" w:lineRule="exact"/>
              <w:jc w:val="right"/>
              <w:rPr>
                <w:rFonts w:hint="eastAsia" w:asciiTheme="minorEastAsia" w:hAnsiTheme="minorEastAsia" w:eastAsiaTheme="minorEastAsia"/>
                <w:strike w:val="1"/>
                <w:color w:val="000000" w:themeColor="text1"/>
                <w:sz w:val="22"/>
              </w:rPr>
            </w:pPr>
          </w:p>
          <w:p>
            <w:pPr>
              <w:pStyle w:val="0"/>
              <w:spacing w:line="300" w:lineRule="exact"/>
              <w:jc w:val="right"/>
              <w:rPr>
                <w:rFonts w:hint="eastAsia" w:asciiTheme="minorEastAsia" w:hAnsiTheme="minorEastAsia" w:eastAsiaTheme="minorEastAsia"/>
                <w:strike w:val="1"/>
                <w:color w:val="000000" w:themeColor="text1"/>
                <w:sz w:val="22"/>
              </w:rPr>
            </w:pPr>
          </w:p>
          <w:p>
            <w:pPr>
              <w:pStyle w:val="0"/>
              <w:spacing w:line="300" w:lineRule="exact"/>
              <w:jc w:val="right"/>
              <w:rPr>
                <w:rFonts w:hint="eastAsia" w:asciiTheme="minorEastAsia" w:hAnsiTheme="minorEastAsia" w:eastAsiaTheme="minorEastAsia"/>
                <w:strike w:val="1"/>
                <w:color w:val="000000" w:themeColor="text1"/>
                <w:sz w:val="22"/>
              </w:rPr>
            </w:pPr>
          </w:p>
          <w:p>
            <w:pPr>
              <w:pStyle w:val="0"/>
              <w:spacing w:line="300" w:lineRule="exact"/>
              <w:jc w:val="right"/>
              <w:rPr>
                <w:rFonts w:hint="eastAsia" w:asciiTheme="minorEastAsia" w:hAnsiTheme="minorEastAsia" w:eastAsiaTheme="minorEastAsia"/>
                <w:strike w:val="1"/>
                <w:color w:val="000000" w:themeColor="text1"/>
                <w:sz w:val="22"/>
              </w:rPr>
            </w:pPr>
          </w:p>
          <w:p>
            <w:pPr>
              <w:pStyle w:val="0"/>
              <w:spacing w:line="300" w:lineRule="exact"/>
              <w:jc w:val="right"/>
              <w:rPr>
                <w:rFonts w:hint="eastAsia"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同種工事の施工実績</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FF0000"/>
                <w:sz w:val="22"/>
              </w:rPr>
              <w:t>１５</w:t>
            </w:r>
            <w:r>
              <w:rPr>
                <w:rFonts w:hint="eastAsia" w:asciiTheme="minorEastAsia" w:hAnsiTheme="minorEastAsia" w:eastAsiaTheme="minorEastAsia"/>
                <w:b w:val="1"/>
                <w:color w:val="000000" w:themeColor="text1"/>
                <w:sz w:val="22"/>
              </w:rPr>
              <w:t>年間</w:t>
            </w:r>
            <w:r>
              <w:rPr>
                <w:rFonts w:hint="eastAsia" w:asciiTheme="minorEastAsia" w:hAnsiTheme="minorEastAsia" w:eastAsiaTheme="minorEastAsia"/>
                <w:color w:val="000000" w:themeColor="text1"/>
                <w:sz w:val="22"/>
              </w:rPr>
              <w:t>における同種工事の施工実績の有無</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ind w:right="816"/>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実績あり</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実績なし</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工事成績</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５年間</w:t>
            </w:r>
            <w:r>
              <w:rPr>
                <w:rFonts w:hint="eastAsia" w:asciiTheme="minorEastAsia" w:hAnsiTheme="minorEastAsia" w:eastAsiaTheme="minorEastAsia"/>
                <w:color w:val="000000" w:themeColor="text1"/>
                <w:sz w:val="22"/>
              </w:rPr>
              <w:t>の国，県又は県内市町村による優良工事表彰の有無</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表彰あり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同種工事</w:t>
            </w:r>
            <w:r>
              <w:rPr>
                <w:rFonts w:hint="eastAsia" w:asciiTheme="minorEastAsia" w:hAnsiTheme="minorEastAsia" w:eastAsiaTheme="minorEastAsia"/>
                <w:color w:val="000000" w:themeColor="text1"/>
                <w:sz w:val="22"/>
              </w:rPr>
              <w:t>)</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表彰あり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同種工事以外</w:t>
            </w:r>
            <w:r>
              <w:rPr>
                <w:rFonts w:hint="eastAsia" w:asciiTheme="minorEastAsia" w:hAnsiTheme="minorEastAsia" w:eastAsiaTheme="minorEastAsia"/>
                <w:color w:val="000000" w:themeColor="text1"/>
                <w:sz w:val="22"/>
              </w:rPr>
              <w:t>)</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表彰なし</w:t>
            </w:r>
          </w:p>
        </w:tc>
        <w:tc>
          <w:tcPr>
            <w:tcW w:w="850"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５年間</w:t>
            </w:r>
            <w:r>
              <w:rPr>
                <w:rFonts w:hint="eastAsia" w:asciiTheme="minorEastAsia" w:hAnsiTheme="minorEastAsia" w:eastAsiaTheme="minorEastAsia"/>
                <w:color w:val="000000" w:themeColor="text1"/>
                <w:sz w:val="22"/>
              </w:rPr>
              <w:t>の大崎市における工事成績調書の平均点</w:t>
            </w:r>
          </w:p>
        </w:tc>
        <w:tc>
          <w:tcPr>
            <w:tcW w:w="265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８６点以上</w:t>
            </w:r>
          </w:p>
        </w:tc>
        <w:tc>
          <w:tcPr>
            <w:tcW w:w="85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５</w:t>
            </w:r>
          </w:p>
        </w:tc>
        <w:tc>
          <w:tcPr>
            <w:tcW w:w="992"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4"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８２点以上８６点未満</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４</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７８点以上８２点未満</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３</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ｄ</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７４点以上７８点未満</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ｅ</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７０点以上７４点未満</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ｆ</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７０点未満又は実績なし</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指名停止等処分</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１年間</w:t>
            </w:r>
            <w:r>
              <w:rPr>
                <w:rFonts w:hint="eastAsia" w:asciiTheme="minorEastAsia" w:hAnsiTheme="minorEastAsia" w:eastAsiaTheme="minorEastAsia"/>
                <w:color w:val="000000" w:themeColor="text1"/>
                <w:sz w:val="22"/>
              </w:rPr>
              <w:t>における指名停止処分の有無（大崎市からの指名停止に限る）</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ind w:left="331" w:hanging="331" w:hangingChars="15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指名停止を受けたことがある</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ＩＳＯ</w:t>
            </w:r>
          </w:p>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認証取得</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ISO9001</w:t>
            </w:r>
            <w:r>
              <w:rPr>
                <w:rFonts w:hint="eastAsia" w:asciiTheme="minorEastAsia" w:hAnsiTheme="minorEastAsia" w:eastAsiaTheme="minorEastAsia"/>
                <w:color w:val="000000" w:themeColor="text1"/>
                <w:sz w:val="22"/>
              </w:rPr>
              <w:t>あるいは</w:t>
            </w:r>
            <w:r>
              <w:rPr>
                <w:rFonts w:hint="eastAsia" w:asciiTheme="minorEastAsia" w:hAnsiTheme="minorEastAsia" w:eastAsiaTheme="minorEastAsia"/>
                <w:color w:val="000000" w:themeColor="text1"/>
                <w:sz w:val="22"/>
              </w:rPr>
              <w:t>ISO14001</w:t>
            </w:r>
            <w:r>
              <w:rPr>
                <w:rFonts w:hint="eastAsia" w:asciiTheme="minorEastAsia" w:hAnsiTheme="minorEastAsia" w:eastAsiaTheme="minorEastAsia"/>
                <w:color w:val="000000" w:themeColor="text1"/>
                <w:sz w:val="22"/>
              </w:rPr>
              <w:t>の認証取得の有無</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建設業に関するものに限る</w:t>
            </w:r>
            <w:r>
              <w:rPr>
                <w:rFonts w:hint="eastAsia" w:asciiTheme="minorEastAsia" w:hAnsiTheme="minorEastAsia" w:eastAsiaTheme="minorEastAsia"/>
                <w:color w:val="000000" w:themeColor="text1"/>
                <w:sz w:val="22"/>
              </w:rPr>
              <w:t>)</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31" w:hanging="331" w:hangingChars="15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.ISO9001</w:t>
            </w:r>
            <w:r>
              <w:rPr>
                <w:rFonts w:hint="eastAsia" w:asciiTheme="minorEastAsia" w:hAnsiTheme="minorEastAsia" w:eastAsiaTheme="minorEastAsia"/>
                <w:color w:val="000000" w:themeColor="text1"/>
                <w:sz w:val="22"/>
              </w:rPr>
              <w:t>及び</w:t>
            </w:r>
            <w:r>
              <w:rPr>
                <w:rFonts w:hint="eastAsia" w:asciiTheme="minorEastAsia" w:hAnsiTheme="minorEastAsia" w:eastAsiaTheme="minorEastAsia"/>
                <w:color w:val="000000" w:themeColor="text1"/>
                <w:sz w:val="22"/>
              </w:rPr>
              <w:t>ISO14001</w:t>
            </w:r>
            <w:r>
              <w:rPr>
                <w:rFonts w:hint="eastAsia" w:asciiTheme="minorEastAsia" w:hAnsiTheme="minorEastAsia" w:eastAsiaTheme="minorEastAsia"/>
                <w:color w:val="000000" w:themeColor="text1"/>
                <w:sz w:val="22"/>
              </w:rPr>
              <w:t>を取得</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31" w:hanging="331" w:hangingChars="15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.ISO9001</w:t>
            </w:r>
            <w:r>
              <w:rPr>
                <w:rFonts w:hint="eastAsia" w:asciiTheme="minorEastAsia" w:hAnsiTheme="minorEastAsia" w:eastAsiaTheme="minorEastAsia"/>
                <w:color w:val="000000" w:themeColor="text1"/>
                <w:sz w:val="22"/>
              </w:rPr>
              <w:t>又は</w:t>
            </w:r>
            <w:r>
              <w:rPr>
                <w:rFonts w:hint="eastAsia" w:asciiTheme="minorEastAsia" w:hAnsiTheme="minorEastAsia" w:eastAsiaTheme="minorEastAsia"/>
                <w:color w:val="000000" w:themeColor="text1"/>
                <w:sz w:val="22"/>
              </w:rPr>
              <w:t>ISO14001</w:t>
            </w:r>
            <w:r>
              <w:rPr>
                <w:rFonts w:hint="eastAsia" w:asciiTheme="minorEastAsia" w:hAnsiTheme="minorEastAsia" w:eastAsiaTheme="minorEastAsia"/>
                <w:color w:val="000000" w:themeColor="text1"/>
                <w:sz w:val="22"/>
              </w:rPr>
              <w:t>を取得</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どちらも取得していない</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20"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配置</w:t>
            </w:r>
          </w:p>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技術者</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継続教育（ＣＰＤ）取組状況の有無</w:t>
            </w:r>
          </w:p>
        </w:tc>
        <w:tc>
          <w:tcPr>
            <w:tcW w:w="2651"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ind w:left="331" w:hanging="331" w:hangingChars="15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証明あり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各団体の推奨単位以上取得</w:t>
            </w:r>
            <w:r>
              <w:rPr>
                <w:rFonts w:hint="eastAsia" w:asciiTheme="minorEastAsia" w:hAnsiTheme="minorEastAsia" w:eastAsiaTheme="minorEastAsia"/>
                <w:color w:val="000000" w:themeColor="text1"/>
                <w:sz w:val="22"/>
              </w:rPr>
              <w:t>)</w:t>
            </w:r>
          </w:p>
        </w:tc>
        <w:tc>
          <w:tcPr>
            <w:tcW w:w="85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20"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eastAsia"/>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rPr>
            </w:pPr>
          </w:p>
        </w:tc>
        <w:tc>
          <w:tcPr>
            <w:tcW w:w="241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rPr>
            </w:pPr>
          </w:p>
        </w:tc>
        <w:tc>
          <w:tcPr>
            <w:tcW w:w="265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31" w:hanging="331" w:hangingChars="15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証明あり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各団体の推奨単位</w:t>
            </w:r>
            <w:r>
              <w:rPr>
                <w:rFonts w:hint="eastAsia" w:asciiTheme="minorEastAsia" w:hAnsiTheme="minorEastAsia" w:eastAsiaTheme="minorEastAsia"/>
                <w:color w:val="000000" w:themeColor="text1"/>
                <w:sz w:val="22"/>
              </w:rPr>
              <w:t>1/2</w:t>
            </w:r>
            <w:r>
              <w:rPr>
                <w:rFonts w:hint="eastAsia" w:asciiTheme="minorEastAsia" w:hAnsiTheme="minorEastAsia" w:eastAsiaTheme="minorEastAsia"/>
                <w:color w:val="000000" w:themeColor="text1"/>
                <w:sz w:val="22"/>
              </w:rPr>
              <w:t>以上取得</w:t>
            </w:r>
            <w:r>
              <w:rPr>
                <w:rFonts w:hint="eastAsia" w:asciiTheme="minorEastAsia" w:hAnsiTheme="minorEastAsia" w:eastAsiaTheme="minorEastAsia"/>
                <w:color w:val="000000" w:themeColor="text1"/>
                <w:sz w:val="22"/>
              </w:rPr>
              <w:t>)</w:t>
            </w:r>
          </w:p>
        </w:tc>
        <w:tc>
          <w:tcPr>
            <w:tcW w:w="85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rPr>
            </w:pPr>
          </w:p>
        </w:tc>
      </w:tr>
      <w:tr>
        <w:trPr>
          <w:trHeight w:val="20"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center"/>
          </w:tcPr>
          <w:p>
            <w:pPr>
              <w:pStyle w:val="0"/>
              <w:rPr>
                <w:rFonts w:hint="eastAsia"/>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41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651"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証明なし</w:t>
            </w:r>
          </w:p>
        </w:tc>
        <w:tc>
          <w:tcPr>
            <w:tcW w:w="850"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993" w:type="dxa"/>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shd w:val="clear" w:color="auto" w:fill="auto"/>
            <w:vAlign w:val="top"/>
          </w:tcPr>
          <w:p>
            <w:pPr>
              <w:pStyle w:val="0"/>
              <w:rPr>
                <w:rFonts w:hint="eastAsia"/>
              </w:rPr>
            </w:pPr>
          </w:p>
        </w:tc>
      </w:tr>
      <w:tr>
        <w:trPr>
          <w:trHeight w:val="454" w:hRule="atLeast"/>
        </w:trPr>
        <w:tc>
          <w:tcPr>
            <w:tcW w:w="482" w:type="dxa"/>
            <w:vMerge w:val="continue"/>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themeFill="background1" w:themeFillTint="FF" w:themeFillShade="F2"/>
            <w:vAlign w:val="center"/>
          </w:tcPr>
          <w:p>
            <w:pPr>
              <w:pStyle w:val="0"/>
              <w:spacing w:line="300" w:lineRule="exact"/>
              <w:jc w:val="right"/>
              <w:rPr>
                <w:rFonts w:hint="eastAsia"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asciiTheme="minorEastAsia" w:hAnsiTheme="minorEastAsia" w:eastAsiaTheme="minorEastAsia"/>
                <w:color w:val="000000" w:themeColor="text1"/>
                <w:sz w:val="22"/>
              </w:rPr>
            </w:pPr>
          </w:p>
        </w:tc>
        <w:tc>
          <w:tcPr>
            <w:tcW w:w="241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FF0000"/>
                <w:sz w:val="22"/>
              </w:rPr>
              <w:t>１５</w:t>
            </w:r>
            <w:r>
              <w:rPr>
                <w:rFonts w:hint="eastAsia" w:asciiTheme="minorEastAsia" w:hAnsiTheme="minorEastAsia" w:eastAsiaTheme="minorEastAsia"/>
                <w:b w:val="1"/>
                <w:color w:val="000000" w:themeColor="text1"/>
                <w:sz w:val="22"/>
              </w:rPr>
              <w:t>年間</w:t>
            </w:r>
            <w:r>
              <w:rPr>
                <w:rFonts w:hint="eastAsia" w:asciiTheme="minorEastAsia" w:hAnsiTheme="minorEastAsia" w:eastAsiaTheme="minorEastAsia"/>
                <w:color w:val="000000" w:themeColor="text1"/>
                <w:sz w:val="22"/>
              </w:rPr>
              <w:t>における同種工事の施工実績の有無</w:t>
            </w:r>
          </w:p>
        </w:tc>
        <w:tc>
          <w:tcPr>
            <w:tcW w:w="265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実績あり</w:t>
            </w:r>
          </w:p>
        </w:tc>
        <w:tc>
          <w:tcPr>
            <w:tcW w:w="85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4"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20" w:hRule="atLeast"/>
        </w:trPr>
        <w:tc>
          <w:tcPr>
            <w:tcW w:w="482" w:type="dxa"/>
            <w:vMerge w:val="continue"/>
            <w:tcBorders>
              <w:top w:val="single" w:color="auto" w:sz="12" w:space="0"/>
              <w:left w:val="none" w:color="auto" w:sz="0" w:space="0"/>
              <w:bottom w:val="single" w:color="auto" w:sz="12"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continue"/>
            <w:tcBorders>
              <w:top w:val="single" w:color="auto" w:sz="12"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実績なし</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rPr>
            </w:pPr>
          </w:p>
        </w:tc>
      </w:tr>
      <w:tr>
        <w:trPr>
          <w:trHeight w:val="907" w:hRule="atLeast"/>
        </w:trPr>
        <w:tc>
          <w:tcPr>
            <w:tcW w:w="482"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eastAsia" w:asciiTheme="minorEastAsia" w:hAnsiTheme="minorEastAsia" w:eastAsiaTheme="minorEastAsia"/>
                <w:color w:val="000000" w:themeColor="text1"/>
                <w:sz w:val="22"/>
                <w:highlight w:val="yellow"/>
              </w:rPr>
            </w:pPr>
          </w:p>
          <w:p>
            <w:pPr>
              <w:pStyle w:val="0"/>
              <w:jc w:val="center"/>
              <w:rPr>
                <w:rFonts w:hint="eastAsia" w:asciiTheme="minorEastAsia" w:hAnsiTheme="minorEastAsia" w:eastAsiaTheme="minorEastAsia"/>
                <w:color w:val="000000" w:themeColor="text1"/>
                <w:sz w:val="22"/>
                <w:highlight w:val="yellow"/>
              </w:rPr>
            </w:pPr>
          </w:p>
          <w:p>
            <w:pPr>
              <w:pStyle w:val="0"/>
              <w:jc w:val="center"/>
              <w:rPr>
                <w:rFonts w:hint="eastAsia" w:asciiTheme="minorEastAsia" w:hAnsiTheme="minorEastAsia" w:eastAsiaTheme="minorEastAsia"/>
                <w:color w:val="000000" w:themeColor="text1"/>
                <w:sz w:val="22"/>
                <w:highlight w:val="yellow"/>
              </w:rPr>
            </w:pPr>
          </w:p>
          <w:p>
            <w:pPr>
              <w:pStyle w:val="0"/>
              <w:jc w:val="center"/>
              <w:rPr>
                <w:rFonts w:hint="eastAsia" w:asciiTheme="minorEastAsia" w:hAnsiTheme="minorEastAsia" w:eastAsiaTheme="minorEastAsia"/>
                <w:color w:val="000000" w:themeColor="text1"/>
                <w:sz w:val="22"/>
                <w:highlight w:val="yellow"/>
              </w:rPr>
            </w:pPr>
          </w:p>
          <w:p>
            <w:pPr>
              <w:pStyle w:val="0"/>
              <w:jc w:val="center"/>
              <w:rPr>
                <w:rFonts w:hint="eastAsia" w:asciiTheme="minorEastAsia" w:hAnsiTheme="minorEastAsia" w:eastAsiaTheme="minorEastAsia"/>
                <w:color w:val="000000" w:themeColor="text1"/>
                <w:sz w:val="22"/>
                <w:highlight w:val="yellow"/>
              </w:rPr>
            </w:pPr>
          </w:p>
          <w:p>
            <w:pPr>
              <w:pStyle w:val="0"/>
              <w:jc w:val="center"/>
              <w:rPr>
                <w:rFonts w:hint="eastAsia" w:asciiTheme="minorEastAsia" w:hAnsiTheme="minorEastAsia" w:eastAsiaTheme="minorEastAsia"/>
                <w:color w:val="000000" w:themeColor="text1"/>
                <w:sz w:val="22"/>
                <w:highlight w:val="yellow"/>
              </w:rPr>
            </w:pPr>
          </w:p>
          <w:p>
            <w:pPr>
              <w:pStyle w:val="0"/>
              <w:jc w:val="center"/>
              <w:rPr>
                <w:rFonts w:hint="eastAsia" w:asciiTheme="minorEastAsia" w:hAnsiTheme="minorEastAsia" w:eastAsiaTheme="minorEastAsia"/>
                <w:color w:val="000000" w:themeColor="text1"/>
                <w:sz w:val="22"/>
              </w:rPr>
            </w:pPr>
          </w:p>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w:t>
            </w:r>
          </w:p>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域</w:t>
            </w:r>
          </w:p>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貢</w:t>
            </w:r>
          </w:p>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献</w:t>
            </w:r>
          </w:p>
          <w:p>
            <w:pPr>
              <w:pStyle w:val="0"/>
              <w:jc w:val="center"/>
              <w:rPr>
                <w:rFonts w:hint="eastAsia" w:asciiTheme="minorEastAsia" w:hAnsiTheme="minorEastAsia" w:eastAsiaTheme="minorEastAsia"/>
                <w:color w:val="000000" w:themeColor="text1"/>
                <w:sz w:val="22"/>
                <w:highlight w:val="yellow"/>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地理的</w:t>
            </w:r>
          </w:p>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要件</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本社（店）等の所在地</w:t>
            </w:r>
          </w:p>
        </w:tc>
        <w:tc>
          <w:tcPr>
            <w:tcW w:w="2651"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ind w:left="331" w:hanging="331" w:hangingChars="15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市内に本社，本店の所在あり（１０年以上）</w:t>
            </w:r>
          </w:p>
        </w:tc>
        <w:tc>
          <w:tcPr>
            <w:tcW w:w="85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1361"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651"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ind w:left="331" w:hanging="331" w:hangingChars="150"/>
              <w:rPr>
                <w:rFonts w:hint="eastAsia" w:asciiTheme="minorEastAsia" w:hAnsiTheme="minorEastAsia" w:eastAsiaTheme="minorEastAsia"/>
                <w:strike w:val="1"/>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市内に本社，本店の所在あり（１０年未満）又は市内に本社，本店の所在なし</w:t>
            </w:r>
          </w:p>
        </w:tc>
        <w:tc>
          <w:tcPr>
            <w:tcW w:w="85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strike w:val="1"/>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361"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地域精通度</w:t>
            </w:r>
          </w:p>
        </w:tc>
        <w:tc>
          <w:tcPr>
            <w:tcW w:w="2651"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ind w:left="331" w:hanging="331" w:hangingChars="15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施工場所の地域内に本社（店）の所在あり</w:t>
            </w:r>
          </w:p>
          <w:p>
            <w:pPr>
              <w:pStyle w:val="0"/>
              <w:spacing w:line="280" w:lineRule="exact"/>
              <w:ind w:firstLine="221" w:firstLineChars="100"/>
              <w:rPr>
                <w:rFonts w:hint="eastAsia" w:asciiTheme="minorEastAsia" w:hAnsiTheme="minorEastAsia" w:eastAsiaTheme="minorEastAsia"/>
                <w:color w:val="000000" w:themeColor="text1"/>
                <w:sz w:val="22"/>
              </w:rPr>
            </w:pPr>
          </w:p>
        </w:tc>
        <w:tc>
          <w:tcPr>
            <w:tcW w:w="85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1361"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651"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ind w:left="331" w:hanging="331" w:hangingChars="15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施工場所の地域内に本社（店）の所在なし</w:t>
            </w:r>
          </w:p>
        </w:tc>
        <w:tc>
          <w:tcPr>
            <w:tcW w:w="85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労働者の新規雇用</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１年間</w:t>
            </w:r>
            <w:r>
              <w:rPr>
                <w:rFonts w:hint="eastAsia" w:asciiTheme="minorEastAsia" w:hAnsiTheme="minorEastAsia" w:eastAsiaTheme="minorEastAsia"/>
                <w:color w:val="000000" w:themeColor="text1"/>
                <w:sz w:val="22"/>
              </w:rPr>
              <w:t>に大崎市民を新規雇用した実績</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１名以上雇用したもの</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新規雇用なし</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資材地元調達率</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資材のうち大崎市内で調達可能な資材の割合</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１００％</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７０％以上１００％未満</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７０％未満</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除融雪</w:t>
            </w:r>
          </w:p>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業務</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大崎市との除融雪業務契約の有無</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災害協定</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大崎市との災害協定の締結又は参加の有無</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417"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災害時貢献</w:t>
            </w:r>
            <w:r>
              <w:rPr>
                <w:rFonts w:hint="eastAsia" w:asciiTheme="minorEastAsia" w:hAnsiTheme="minorEastAsia" w:eastAsiaTheme="minorEastAsia"/>
                <w:color w:val="000000" w:themeColor="text1"/>
                <w:sz w:val="24"/>
              </w:rPr>
              <w:t>又は地元施工への協力</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２年間</w:t>
            </w:r>
            <w:r>
              <w:rPr>
                <w:rFonts w:hint="eastAsia" w:asciiTheme="minorEastAsia" w:hAnsiTheme="minorEastAsia" w:eastAsiaTheme="minorEastAsia"/>
                <w:color w:val="000000" w:themeColor="text1"/>
                <w:sz w:val="22"/>
              </w:rPr>
              <w:t>における大崎市との災害協定に基づく貢献活動又は地元施工への協力の有無</w:t>
            </w:r>
          </w:p>
          <w:p>
            <w:pPr>
              <w:pStyle w:val="0"/>
              <w:spacing w:line="280" w:lineRule="exact"/>
              <w:rPr>
                <w:rFonts w:hint="eastAsia" w:asciiTheme="minorEastAsia" w:hAnsiTheme="minorEastAsia" w:eastAsiaTheme="minorEastAsia"/>
                <w:color w:val="000000" w:themeColor="text1"/>
                <w:sz w:val="22"/>
              </w:rPr>
            </w:pPr>
          </w:p>
        </w:tc>
        <w:tc>
          <w:tcPr>
            <w:tcW w:w="2651"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85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1417"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651"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85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62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地域貢献活動</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２年間</w:t>
            </w:r>
            <w:r>
              <w:rPr>
                <w:rFonts w:hint="eastAsia" w:asciiTheme="minorEastAsia" w:hAnsiTheme="minorEastAsia" w:eastAsiaTheme="minorEastAsia"/>
                <w:color w:val="000000" w:themeColor="text1"/>
                <w:sz w:val="22"/>
              </w:rPr>
              <w:t>の大崎市内における地域貢献活動の実績の有無</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624" w:hRule="atLeast"/>
        </w:trPr>
        <w:tc>
          <w:tcPr>
            <w:tcW w:w="482" w:type="dxa"/>
            <w:vMerge w:val="continue"/>
            <w:tcBorders>
              <w:top w:val="single" w:color="auto" w:sz="4"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651"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85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rPr>
                <w:rFonts w:hint="eastAsia"/>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eastAsia" w:asciiTheme="minorEastAsia" w:hAnsiTheme="minorEastAsia" w:eastAsiaTheme="minorEastAsia"/>
                <w:color w:val="000000" w:themeColor="text1"/>
                <w:sz w:val="22"/>
                <w:highlight w:val="yellow"/>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消防団協力事業所</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消防団協力事業所の認定</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single" w:color="auto" w:sz="4"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rPr>
            </w:pPr>
          </w:p>
        </w:tc>
      </w:tr>
      <w:tr>
        <w:trPr>
          <w:trHeight w:val="454" w:hRule="atLeast"/>
        </w:trPr>
        <w:tc>
          <w:tcPr>
            <w:tcW w:w="482"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center"/>
          </w:tcPr>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社</w:t>
            </w:r>
          </w:p>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会</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性</w:t>
            </w:r>
          </w:p>
          <w:p>
            <w:pPr>
              <w:pStyle w:val="0"/>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建退共の導入状況</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建設業退職金共済制度導入の有無</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導入済み</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未導入</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rPr>
                <w:rFonts w:hint="eastAsia"/>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企業年金制度等</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退職一時金制度・企業年金制度導入の有無</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導入済み</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未導入</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907"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障害者雇用状況</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障害者の雇用状況</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31" w:hanging="331" w:hangingChars="15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法定雇用率以上又は義務外雇用あり</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907"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ind w:left="331" w:hanging="331" w:hangingChars="15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法定雇用率未満又は義務外雇用なし</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保護観察協力</w:t>
            </w:r>
          </w:p>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事業所</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協力雇用主としての登録</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登録あり</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登録なし</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働き方</w:t>
            </w:r>
          </w:p>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改革</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女性のチカラを活かす企業認証制度</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認証取得済み</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認証なし</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FFFF00"/>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FFFF00"/>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632" w:hRule="atLeast"/>
        </w:trPr>
        <w:tc>
          <w:tcPr>
            <w:tcW w:w="7230"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合　　　計</w:t>
            </w:r>
          </w:p>
        </w:tc>
        <w:tc>
          <w:tcPr>
            <w:tcW w:w="850" w:type="dxa"/>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３０</w:t>
            </w:r>
          </w:p>
        </w:tc>
        <w:tc>
          <w:tcPr>
            <w:tcW w:w="992"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bl>
    <w:p>
      <w:pPr>
        <w:pStyle w:val="0"/>
        <w:rPr>
          <w:rFonts w:hint="default" w:asciiTheme="minorEastAsia" w:hAnsiTheme="minorEastAsia" w:eastAsiaTheme="minorEastAsia"/>
        </w:rPr>
      </w:pPr>
    </w:p>
    <w:p>
      <w:pPr>
        <w:pStyle w:val="0"/>
        <w:rPr>
          <w:rFonts w:hint="default" w:asciiTheme="minorEastAsia" w:hAnsiTheme="minorEastAsia" w:eastAsiaTheme="minorEastAsia"/>
          <w:sz w:val="22"/>
        </w:rPr>
      </w:pPr>
      <w:r>
        <w:rPr>
          <w:rFonts w:hint="eastAsia" w:asciiTheme="minorEastAsia" w:hAnsiTheme="minorEastAsia" w:eastAsiaTheme="minorEastAsia"/>
          <w:sz w:val="22"/>
        </w:rPr>
        <w:t>同種工事の要件</w:t>
      </w:r>
    </w:p>
    <w:p>
      <w:pPr>
        <w:pStyle w:val="0"/>
        <w:rPr>
          <w:rFonts w:hint="default" w:asciiTheme="minorEastAsia" w:hAnsiTheme="minorEastAsia" w:eastAsiaTheme="minorEastAsia"/>
        </w:rPr>
      </w:pPr>
      <w:r>
        <w:rPr>
          <w:rFonts w:hint="eastAsia"/>
        </w:rPr>
        <mc:AlternateContent>
          <mc:Choice Requires="wps">
            <w:drawing>
              <wp:anchor distT="0" distB="0" distL="114300" distR="114300" simplePos="0" relativeHeight="13" behindDoc="0" locked="0" layoutInCell="1" hidden="0" allowOverlap="1">
                <wp:simplePos x="0" y="0"/>
                <wp:positionH relativeFrom="column">
                  <wp:posOffset>-100330</wp:posOffset>
                </wp:positionH>
                <wp:positionV relativeFrom="paragraph">
                  <wp:posOffset>28575</wp:posOffset>
                </wp:positionV>
                <wp:extent cx="6730365" cy="1885950"/>
                <wp:effectExtent l="635" t="635" r="29845" b="10795"/>
                <wp:wrapNone/>
                <wp:docPr id="1038" name="Text Box 15"/>
                <a:graphic xmlns:a="http://schemas.openxmlformats.org/drawingml/2006/main">
                  <a:graphicData uri="http://schemas.microsoft.com/office/word/2010/wordprocessingShape">
                    <wps:wsp>
                      <wps:cNvPr id="1038" name="Text Box 15"/>
                      <wps:cNvSpPr txBox="1">
                        <a:spLocks noChangeArrowheads="1"/>
                      </wps:cNvSpPr>
                      <wps:spPr>
                        <a:xfrm>
                          <a:off x="0" y="0"/>
                          <a:ext cx="6730365" cy="1885950"/>
                        </a:xfrm>
                        <a:prstGeom prst="rect">
                          <a:avLst/>
                        </a:prstGeom>
                        <a:solidFill>
                          <a:srgbClr val="FFFFFF"/>
                        </a:solidFill>
                        <a:ln w="9525">
                          <a:solidFill>
                            <a:srgbClr val="000000"/>
                          </a:solidFill>
                          <a:miter lim="800000"/>
                          <a:headEnd/>
                          <a:tailEnd/>
                        </a:ln>
                      </wps:spPr>
                      <wps:txbx>
                        <w:txbxContent>
                          <w:p>
                            <w:pPr>
                              <w:pStyle w:val="0"/>
                              <w:ind w:firstLine="482" w:firstLineChars="200"/>
                              <w:rPr>
                                <w:rFonts w:hint="eastAsia" w:asciiTheme="minorEastAsia" w:hAnsiTheme="minorEastAsia" w:eastAsiaTheme="minorEastAsia"/>
                                <w:sz w:val="22"/>
                                <w:highlight w:val="none"/>
                              </w:rPr>
                            </w:pPr>
                            <w:r>
                              <w:rPr>
                                <w:rFonts w:hint="eastAsia"/>
                                <w:highlight w:val="none"/>
                              </w:rPr>
                              <w:t>　</w:t>
                            </w:r>
                            <w:r>
                              <w:rPr>
                                <w:rFonts w:hint="eastAsia" w:asciiTheme="minorEastAsia" w:hAnsiTheme="minorEastAsia" w:eastAsiaTheme="minorEastAsia"/>
                                <w:sz w:val="22"/>
                                <w:highlight w:val="none"/>
                              </w:rPr>
                              <w:t>次の要件を全て満たす建物解体工事</w:t>
                            </w: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①国又は地方公共団体が発注し，元請として受注したもの。</w:t>
                            </w: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②</w:t>
                            </w:r>
                            <w:r>
                              <w:rPr>
                                <w:rFonts w:hint="eastAsia" w:asciiTheme="minorEastAsia" w:hAnsiTheme="minorEastAsia" w:eastAsiaTheme="minorEastAsia"/>
                                <w:color w:val="auto"/>
                                <w:sz w:val="22"/>
                                <w:highlight w:val="none"/>
                              </w:rPr>
                              <w:t>平成２２年</w:t>
                            </w:r>
                            <w:r>
                              <w:rPr>
                                <w:rFonts w:hint="eastAsia" w:asciiTheme="minorEastAsia" w:hAnsiTheme="minorEastAsia" w:eastAsiaTheme="minorEastAsia"/>
                                <w:sz w:val="22"/>
                                <w:highlight w:val="none"/>
                              </w:rPr>
                              <w:t>４月１日から入札公告日までに完成引き渡しが完了したもの。</w:t>
                            </w:r>
                          </w:p>
                          <w:p>
                            <w:pPr>
                              <w:pStyle w:val="0"/>
                              <w:rPr>
                                <w:rFonts w:hint="default"/>
                                <w:strike w:val="1"/>
                                <w:color w:val="000000" w:themeColor="text1"/>
                              </w:rPr>
                            </w:pPr>
                            <w:r>
                              <w:rPr>
                                <w:rFonts w:hint="eastAsia" w:asciiTheme="minorEastAsia" w:hAnsiTheme="minorEastAsia" w:eastAsiaTheme="minorEastAsia"/>
                                <w:sz w:val="22"/>
                                <w:highlight w:val="none"/>
                              </w:rPr>
                              <w:t>③</w:t>
                            </w:r>
                            <w:r>
                              <w:rPr>
                                <w:rFonts w:hint="eastAsia" w:asciiTheme="minorEastAsia" w:hAnsiTheme="minorEastAsia" w:eastAsiaTheme="minorEastAsia"/>
                                <w:color w:val="000000" w:themeColor="text1"/>
                                <w:sz w:val="22"/>
                              </w:rPr>
                              <w:t>延べ面積</w:t>
                            </w:r>
                            <w:r>
                              <w:rPr>
                                <w:rFonts w:hint="eastAsia" w:asciiTheme="minorEastAsia" w:hAnsiTheme="minorEastAsia" w:eastAsiaTheme="minorEastAsia"/>
                                <w:color w:val="000000" w:themeColor="text1"/>
                                <w:sz w:val="22"/>
                              </w:rPr>
                              <w:t>1,000</w:t>
                            </w:r>
                            <w:r>
                              <w:rPr>
                                <w:rFonts w:hint="eastAsia" w:asciiTheme="minorEastAsia" w:hAnsiTheme="minorEastAsia" w:eastAsiaTheme="minorEastAsia"/>
                                <w:color w:val="000000" w:themeColor="text1"/>
                                <w:sz w:val="22"/>
                              </w:rPr>
                              <w:t>㎡以上の建物解体を含むもの。</w:t>
                            </w:r>
                          </w:p>
                          <w:p>
                            <w:pPr>
                              <w:pStyle w:val="0"/>
                              <w:rPr>
                                <w:rFonts w:hint="default"/>
                                <w:strike w:val="1"/>
                              </w:rPr>
                            </w:pPr>
                          </w:p>
                          <w:p>
                            <w:pPr>
                              <w:pStyle w:val="0"/>
                              <w:ind w:leftChars="0" w:firstLine="0" w:firstLineChars="0"/>
                              <w:rPr>
                                <w:rFonts w:hint="eastAsia" w:asciiTheme="minorEastAsia" w:hAnsiTheme="minorEastAsia" w:eastAsiaTheme="minorEastAsia"/>
                                <w:sz w:val="22"/>
                                <w:highlight w:val="none"/>
                              </w:rPr>
                            </w:pPr>
                          </w:p>
                          <w:p>
                            <w:pPr>
                              <w:pStyle w:val="0"/>
                              <w:rPr>
                                <w:rFonts w:hint="eastAsia" w:asciiTheme="minorEastAsia" w:hAnsiTheme="minorEastAsia" w:eastAsiaTheme="minorEastAsia"/>
                                <w:sz w:val="22"/>
                                <w:highlight w:val="none"/>
                              </w:rPr>
                            </w:pPr>
                          </w:p>
                          <w:p>
                            <w:pPr>
                              <w:pStyle w:val="0"/>
                              <w:rPr>
                                <w:rFonts w:hint="default"/>
                                <w:highlight w:val="none"/>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5" style="mso-wrap-distance-right:9pt;mso-wrap-distance-bottom:0pt;margin-top:2.25pt;mso-position-vertical-relative:text;mso-position-horizontal-relative:text;v-text-anchor:top;position:absolute;height:148.5pt;mso-wrap-distance-top:0pt;width:529.95000000000005pt;mso-wrap-distance-left:9pt;margin-left:-7.9pt;z-index:13;" o:spid="_x0000_s1038"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482" w:firstLineChars="200"/>
                        <w:rPr>
                          <w:rFonts w:hint="eastAsia" w:asciiTheme="minorEastAsia" w:hAnsiTheme="minorEastAsia" w:eastAsiaTheme="minorEastAsia"/>
                          <w:sz w:val="22"/>
                          <w:highlight w:val="none"/>
                        </w:rPr>
                      </w:pPr>
                      <w:r>
                        <w:rPr>
                          <w:rFonts w:hint="eastAsia"/>
                          <w:highlight w:val="none"/>
                        </w:rPr>
                        <w:t>　</w:t>
                      </w:r>
                      <w:r>
                        <w:rPr>
                          <w:rFonts w:hint="eastAsia" w:asciiTheme="minorEastAsia" w:hAnsiTheme="minorEastAsia" w:eastAsiaTheme="minorEastAsia"/>
                          <w:sz w:val="22"/>
                          <w:highlight w:val="none"/>
                        </w:rPr>
                        <w:t>次の要件を全て満たす建物解体工事</w:t>
                      </w: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①国又は地方公共団体が発注し，元請として受注したもの。</w:t>
                      </w: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②</w:t>
                      </w:r>
                      <w:r>
                        <w:rPr>
                          <w:rFonts w:hint="eastAsia" w:asciiTheme="minorEastAsia" w:hAnsiTheme="minorEastAsia" w:eastAsiaTheme="minorEastAsia"/>
                          <w:color w:val="auto"/>
                          <w:sz w:val="22"/>
                          <w:highlight w:val="none"/>
                        </w:rPr>
                        <w:t>平成２２年</w:t>
                      </w:r>
                      <w:r>
                        <w:rPr>
                          <w:rFonts w:hint="eastAsia" w:asciiTheme="minorEastAsia" w:hAnsiTheme="minorEastAsia" w:eastAsiaTheme="minorEastAsia"/>
                          <w:sz w:val="22"/>
                          <w:highlight w:val="none"/>
                        </w:rPr>
                        <w:t>４月１日から入札公告日までに完成引き渡しが完了したもの。</w:t>
                      </w:r>
                    </w:p>
                    <w:p>
                      <w:pPr>
                        <w:pStyle w:val="0"/>
                        <w:rPr>
                          <w:rFonts w:hint="default"/>
                          <w:strike w:val="1"/>
                          <w:color w:val="000000" w:themeColor="text1"/>
                        </w:rPr>
                      </w:pPr>
                      <w:r>
                        <w:rPr>
                          <w:rFonts w:hint="eastAsia" w:asciiTheme="minorEastAsia" w:hAnsiTheme="minorEastAsia" w:eastAsiaTheme="minorEastAsia"/>
                          <w:sz w:val="22"/>
                          <w:highlight w:val="none"/>
                        </w:rPr>
                        <w:t>③</w:t>
                      </w:r>
                      <w:r>
                        <w:rPr>
                          <w:rFonts w:hint="eastAsia" w:asciiTheme="minorEastAsia" w:hAnsiTheme="minorEastAsia" w:eastAsiaTheme="minorEastAsia"/>
                          <w:color w:val="000000" w:themeColor="text1"/>
                          <w:sz w:val="22"/>
                        </w:rPr>
                        <w:t>延べ面積</w:t>
                      </w:r>
                      <w:r>
                        <w:rPr>
                          <w:rFonts w:hint="eastAsia" w:asciiTheme="minorEastAsia" w:hAnsiTheme="minorEastAsia" w:eastAsiaTheme="minorEastAsia"/>
                          <w:color w:val="000000" w:themeColor="text1"/>
                          <w:sz w:val="22"/>
                        </w:rPr>
                        <w:t>1,000</w:t>
                      </w:r>
                      <w:r>
                        <w:rPr>
                          <w:rFonts w:hint="eastAsia" w:asciiTheme="minorEastAsia" w:hAnsiTheme="minorEastAsia" w:eastAsiaTheme="minorEastAsia"/>
                          <w:color w:val="000000" w:themeColor="text1"/>
                          <w:sz w:val="22"/>
                        </w:rPr>
                        <w:t>㎡以上の建物解体を含むもの。</w:t>
                      </w:r>
                    </w:p>
                    <w:p>
                      <w:pPr>
                        <w:pStyle w:val="0"/>
                        <w:rPr>
                          <w:rFonts w:hint="default"/>
                          <w:strike w:val="1"/>
                        </w:rPr>
                      </w:pPr>
                    </w:p>
                    <w:p>
                      <w:pPr>
                        <w:pStyle w:val="0"/>
                        <w:ind w:leftChars="0" w:firstLine="0" w:firstLineChars="0"/>
                        <w:rPr>
                          <w:rFonts w:hint="eastAsia" w:asciiTheme="minorEastAsia" w:hAnsiTheme="minorEastAsia" w:eastAsiaTheme="minorEastAsia"/>
                          <w:sz w:val="22"/>
                          <w:highlight w:val="none"/>
                        </w:rPr>
                      </w:pPr>
                    </w:p>
                    <w:p>
                      <w:pPr>
                        <w:pStyle w:val="0"/>
                        <w:rPr>
                          <w:rFonts w:hint="eastAsia" w:asciiTheme="minorEastAsia" w:hAnsiTheme="minorEastAsia" w:eastAsiaTheme="minorEastAsia"/>
                          <w:sz w:val="22"/>
                          <w:highlight w:val="none"/>
                        </w:rPr>
                      </w:pPr>
                    </w:p>
                    <w:p>
                      <w:pPr>
                        <w:pStyle w:val="0"/>
                        <w:rPr>
                          <w:rFonts w:hint="default"/>
                          <w:highlight w:val="none"/>
                        </w:rPr>
                      </w:pPr>
                    </w:p>
                  </w:txbxContent>
                </v:textbox>
                <v:imagedata o:title=""/>
                <w10:wrap type="none" anchorx="text" anchory="text"/>
              </v:shape>
            </w:pict>
          </mc:Fallback>
        </mc:AlternateConten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ind w:firstLine="241" w:firstLineChars="100"/>
        <w:rPr>
          <w:rFonts w:hint="eastAsia" w:asciiTheme="minorEastAsia" w:hAnsiTheme="minorEastAsia" w:eastAsiaTheme="minorEastAsia"/>
          <w:sz w:val="22"/>
        </w:rPr>
      </w:pPr>
      <w:r>
        <w:rPr>
          <w:rFonts w:hint="eastAsia" w:asciiTheme="minorEastAsia" w:hAnsiTheme="minorEastAsia" w:eastAsiaTheme="minorEastAsia"/>
          <w:sz w:val="22"/>
        </w:rPr>
        <w:t>※応札者は応札者記入欄に応札者自ら点数を記入し提出すること。</w:t>
      </w:r>
    </w:p>
    <w:p>
      <w:pPr>
        <w:pStyle w:val="0"/>
        <w:rPr>
          <w:rFonts w:hint="eastAsia" w:asciiTheme="minorEastAsia" w:hAnsiTheme="minorEastAsia" w:eastAsiaTheme="minorEastAsia"/>
          <w:color w:val="FF0000"/>
          <w:sz w:val="22"/>
        </w:rPr>
      </w:pPr>
    </w:p>
    <w:p>
      <w:pPr>
        <w:pStyle w:val="0"/>
        <w:ind w:firstLine="181" w:firstLineChars="100"/>
        <w:rPr>
          <w:rFonts w:hint="eastAsia" w:asciiTheme="minorEastAsia" w:hAnsiTheme="minorEastAsia" w:eastAsiaTheme="minorEastAsia"/>
          <w:sz w:val="22"/>
        </w:rPr>
      </w:pPr>
    </w:p>
    <w:p>
      <w:pPr>
        <w:pStyle w:val="0"/>
        <w:ind w:firstLine="241" w:firstLineChars="100"/>
        <w:rPr>
          <w:rFonts w:hint="eastAsia" w:asciiTheme="minorEastAsia" w:hAnsiTheme="minorEastAsia" w:eastAsiaTheme="minorEastAsia"/>
          <w:sz w:val="22"/>
          <w:u w:val="single" w:color="auto"/>
        </w:rPr>
      </w:pPr>
      <w:r>
        <w:rPr>
          <w:rFonts w:hint="eastAsia" w:asciiTheme="minorEastAsia" w:hAnsiTheme="minorEastAsia" w:eastAsiaTheme="minorEastAsia"/>
          <w:sz w:val="22"/>
          <w:u w:val="single" w:color="auto"/>
        </w:rPr>
        <w:t>会社名　　　　　　　　　　　　　　　　　　　　　　　　　　　</w:t>
      </w:r>
    </w:p>
    <w:p>
      <w:pPr>
        <w:pStyle w:val="0"/>
        <w:rPr>
          <w:rFonts w:hint="eastAsia" w:asciiTheme="minorEastAsia" w:hAnsiTheme="minorEastAsia" w:eastAsiaTheme="minorEastAsia"/>
          <w:sz w:val="22"/>
        </w:rPr>
      </w:pPr>
    </w:p>
    <w:sectPr>
      <w:footnotePr>
        <w:numRestart w:val="eachSect"/>
      </w:footnotePr>
      <w:type w:val="continuous"/>
      <w:pgSz w:w="11906" w:h="16838"/>
      <w:pgMar w:top="851" w:right="1134" w:bottom="851" w:left="1134" w:header="720" w:footer="561" w:gutter="0"/>
      <w:cols w:space="720"/>
      <w:textDirection w:val="lrTb"/>
      <w:docGrid w:type="linesAndChars" w:linePitch="378" w:charSpace="-185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Mincho">
    <w:panose1 w:val="00000000000000000000"/>
    <w:charset w:val="80"/>
    <w:family w:val="roman"/>
    <w:notTrueType/>
    <w:pitch w:val="fixed"/>
    <w:sig w:usb0="00000000" w:usb1="00000000" w:usb2="00000000" w:usb3="00000000" w:csb0="00020000" w:csb1="00000000"/>
  </w:font>
  <w:font w:name="Century">
    <w:panose1 w:val="00000000000000000000"/>
    <w:charset w:val="00"/>
    <w:family w:val="roman"/>
    <w:notTrueType/>
    <w:pitch w:val="variable"/>
    <w:sig w:usb0="00000000" w:usb1="00000000" w:usb2="00000000" w:usb3="00000000" w:csb0="FF000000" w:csb1="00000000"/>
  </w:font>
  <w:font w:name="Arial Unicode MS">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PｺﾞｼｯｸE">
    <w:panose1 w:val="00000000000000000000"/>
    <w:charset w:val="80"/>
    <w:family w:val="modern"/>
    <w:notTrueType/>
    <w:pitch w:val="variable"/>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2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77"/>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77"/>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3</w:t>
    </w:r>
    <w:r>
      <w:rPr>
        <w:rFonts w:hint="eastAsia"/>
      </w:rPr>
      <w:fldChar w:fldCharType="end"/>
    </w:r>
  </w:p>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BDAF012"/>
    <w:lvl w:ilvl="0" w:tplc="B90A6ABE">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4"/>
  <w:bordersDoNotSurroundHeader/>
  <w:bordersDoNotSurroundFooter/>
  <w:defaultTabStop w:val="720"/>
  <w:hyphenationZone w:val="0"/>
  <w:doNotHyphenateCaps/>
  <w:drawingGridHorizontalSpacing w:val="241"/>
  <w:drawingGridVerticalSpacing w:val="189"/>
  <w:displayHorizontalDrawingGridEvery w:val="0"/>
  <w:displayVerticalDrawingGridEvery w:val="2"/>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29"/>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31"/>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character" w:styleId="29" w:customStyle="1">
    <w:name w:val="ヘッダー (文字)"/>
    <w:next w:val="29"/>
    <w:link w:val="19"/>
    <w:uiPriority w:val="0"/>
    <w:rPr>
      <w:rFonts w:ascii="Mincho" w:hAnsi="Mincho" w:eastAsia="Mincho"/>
      <w:spacing w:val="25"/>
    </w:rPr>
  </w:style>
  <w:style w:type="paragraph" w:styleId="30">
    <w:name w:val="List Paragraph"/>
    <w:basedOn w:val="0"/>
    <w:next w:val="30"/>
    <w:link w:val="0"/>
    <w:uiPriority w:val="0"/>
    <w:qFormat/>
    <w:pPr>
      <w:ind w:left="840" w:leftChars="400"/>
    </w:pPr>
  </w:style>
  <w:style w:type="character" w:styleId="31" w:customStyle="1">
    <w:name w:val="記 (文字)"/>
    <w:basedOn w:val="10"/>
    <w:next w:val="31"/>
    <w:link w:val="22"/>
    <w:uiPriority w:val="0"/>
    <w:rPr>
      <w:rFonts w:ascii="ＭＳ 明朝" w:hAnsi="ＭＳ 明朝"/>
      <w:spacing w:val="25"/>
      <w:sz w:val="21"/>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1585</TotalTime>
  <Pages>15</Pages>
  <Words>73</Words>
  <Characters>8430</Characters>
  <Application>JUST Note</Application>
  <Lines>68377</Lines>
  <Paragraphs>530</Paragraphs>
  <Company>古川市</Company>
  <CharactersWithSpaces>8984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古川市公告第１４号</dc:title>
  <dc:creator>古川市</dc:creator>
  <cp:lastModifiedBy>村田正志</cp:lastModifiedBy>
  <cp:lastPrinted>2025-08-08T02:29:28Z</cp:lastPrinted>
  <dcterms:created xsi:type="dcterms:W3CDTF">2022-07-05T05:23:00Z</dcterms:created>
  <dcterms:modified xsi:type="dcterms:W3CDTF">2025-08-06T23:56:16Z</dcterms:modified>
  <cp:revision>64</cp:revision>
</cp:coreProperties>
</file>