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４８７</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12</w:t>
      </w:r>
      <w:r>
        <w:rPr>
          <w:rFonts w:hint="eastAsia" w:ascii="ＭＳ 明朝" w:hAnsi="ＭＳ 明朝" w:eastAsia="ＭＳ 明朝"/>
          <w:color w:val="000000"/>
          <w:sz w:val="21"/>
        </w:rPr>
        <w:t>月</w:t>
      </w:r>
      <w:r>
        <w:rPr>
          <w:rFonts w:hint="eastAsia" w:ascii="ＭＳ 明朝" w:hAnsi="ＭＳ 明朝" w:eastAsia="ＭＳ 明朝"/>
          <w:color w:val="000000"/>
          <w:sz w:val="21"/>
        </w:rPr>
        <w:t>18</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2025001491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清掃業務（田尻総合支所）</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大崎市田尻沼部字富岡１８３番地３</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〇日常清掃業務</w:t>
      </w:r>
    </w:p>
    <w:p>
      <w:pPr>
        <w:pStyle w:val="3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・週５日（土日祝日除く）</w:t>
      </w:r>
    </w:p>
    <w:p>
      <w:pPr>
        <w:pStyle w:val="3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風除室・待合ホール・情報発信室・各所トイレ外</w:t>
      </w:r>
    </w:p>
    <w:p>
      <w:pPr>
        <w:pStyle w:val="3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・週２日</w:t>
      </w:r>
    </w:p>
    <w:p>
      <w:pPr>
        <w:pStyle w:val="3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田尻歴史展示室・観覧室</w:t>
      </w:r>
    </w:p>
    <w:p>
      <w:pPr>
        <w:pStyle w:val="3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〇定期清掃業務</w:t>
      </w:r>
    </w:p>
    <w:p>
      <w:pPr>
        <w:pStyle w:val="30"/>
        <w:numPr>
          <w:numId w:val="0"/>
        </w:numPr>
        <w:kinsoku w:val="0"/>
        <w:spacing w:line="358" w:lineRule="exact"/>
        <w:ind w:left="720" w:leftChars="0" w:right="-101" w:rightChars="-46" w:firstLine="1610" w:firstLineChars="700"/>
        <w:jc w:val="both"/>
        <w:rPr>
          <w:rFonts w:hint="default" w:ascii="ＭＳ 明朝" w:hAnsi="ＭＳ 明朝" w:eastAsia="ＭＳ 明朝"/>
          <w:sz w:val="21"/>
        </w:rPr>
      </w:pPr>
      <w:r>
        <w:rPr>
          <w:rFonts w:hint="eastAsia" w:ascii="ＭＳ 明朝" w:hAnsi="ＭＳ 明朝" w:eastAsia="ＭＳ 明朝"/>
          <w:sz w:val="21"/>
        </w:rPr>
        <w:t>床ワックス清掃・カーペット清掃・窓清掃</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bookmarkStart w:id="0" w:name="_GoBack"/>
      <w:bookmarkEnd w:id="0"/>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業種：建物等の清掃，部門：建物清掃</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0229-39-1111</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989-4308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大崎市田尻沼部字富岡</w:t>
            </w:r>
            <w:r>
              <w:rPr>
                <w:rFonts w:hint="eastAsia" w:ascii="ＭＳ 明朝" w:hAnsi="ＭＳ 明朝" w:eastAsia="ＭＳ 明朝"/>
                <w:sz w:val="21"/>
              </w:rPr>
              <w:t>183</w:t>
            </w:r>
            <w:r>
              <w:rPr>
                <w:rFonts w:hint="eastAsia" w:ascii="ＭＳ 明朝" w:hAnsi="ＭＳ 明朝" w:eastAsia="ＭＳ 明朝"/>
                <w:sz w:val="21"/>
              </w:rPr>
              <w:t>番地</w:t>
            </w:r>
            <w:r>
              <w:rPr>
                <w:rFonts w:hint="eastAsia" w:ascii="ＭＳ 明朝" w:hAnsi="ＭＳ 明朝" w:eastAsia="ＭＳ 明朝"/>
                <w:sz w:val="21"/>
              </w:rPr>
              <w:t>3</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12</w:t>
            </w:r>
            <w:r>
              <w:rPr>
                <w:rFonts w:hint="eastAsia"/>
                <w:sz w:val="22"/>
              </w:rPr>
              <w:t>月</w:t>
            </w:r>
            <w:r>
              <w:rPr>
                <w:rFonts w:hint="eastAsia"/>
                <w:sz w:val="22"/>
              </w:rPr>
              <w:t>19</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 xml:space="preserve"> 8</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12</w:t>
            </w:r>
            <w:r>
              <w:rPr>
                <w:rFonts w:hint="eastAsia"/>
                <w:sz w:val="22"/>
              </w:rPr>
              <w:t>月</w:t>
            </w:r>
            <w:r>
              <w:rPr>
                <w:rFonts w:hint="eastAsia"/>
                <w:sz w:val="22"/>
              </w:rPr>
              <w:t>19</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12</w:t>
            </w:r>
            <w:r>
              <w:rPr>
                <w:rFonts w:hint="eastAsia"/>
                <w:sz w:val="22"/>
              </w:rPr>
              <w:t>月</w:t>
            </w:r>
            <w:r>
              <w:rPr>
                <w:rFonts w:hint="eastAsia"/>
                <w:sz w:val="22"/>
              </w:rPr>
              <w:t>25</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 xml:space="preserve"> 5</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 xml:space="preserve"> 9</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1</w:t>
            </w:r>
            <w:r>
              <w:rPr>
                <w:rFonts w:hint="eastAsia"/>
                <w:color w:val="000000" w:themeColor="text1"/>
                <w:sz w:val="22"/>
              </w:rPr>
              <w:t>月</w:t>
            </w:r>
            <w:r>
              <w:rPr>
                <w:rFonts w:hint="eastAsia"/>
                <w:color w:val="000000" w:themeColor="text1"/>
                <w:sz w:val="22"/>
              </w:rPr>
              <w:t>14</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大崎市役所本庁舎３階３</w:t>
            </w:r>
            <w:r>
              <w:rPr>
                <w:rFonts w:hint="eastAsia" w:asciiTheme="minorEastAsia" w:hAnsiTheme="minorEastAsia" w:eastAsiaTheme="minorEastAsia"/>
                <w:color w:val="000000" w:themeColor="text1"/>
                <w:sz w:val="21"/>
              </w:rPr>
              <w:t>0</w:t>
            </w:r>
            <w:r>
              <w:rPr>
                <w:rFonts w:hint="eastAsia" w:asciiTheme="minorEastAsia" w:hAnsiTheme="minorEastAsia" w:eastAsiaTheme="minorEastAsia"/>
                <w:color w:val="000000" w:themeColor="text1"/>
                <w:sz w:val="21"/>
              </w:rPr>
              <w:t>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934</TotalTime>
  <Pages>10</Pages>
  <Words>63</Words>
  <Characters>5034</Characters>
  <Application>JUST Note</Application>
  <Lines>387</Lines>
  <Paragraphs>240</Paragraphs>
  <CharactersWithSpaces>5348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2025-12-12T08:16:35Z</cp:lastPrinted>
  <dcterms:created xsi:type="dcterms:W3CDTF">2023-04-11T23:40:00Z</dcterms:created>
  <dcterms:modified xsi:type="dcterms:W3CDTF">2025-12-12T08:16:14Z</dcterms:modified>
  <cp:revision>8</cp:revision>
</cp:coreProperties>
</file>