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2025001690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スクールバス運行管理業務（鳴子小中学校・小黒ヶ崎）</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大崎市立鳴子小中学校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小黒ヶ崎ルート　一般乗用旅客自動車（ジャンボタクシー）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一般乗用旅客自動車運送事業の許可を有すること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1</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w:t>
      </w:r>
      <w:r>
        <w:rPr>
          <w:rFonts w:hint="eastAsia" w:asciiTheme="minorEastAsia" w:hAnsiTheme="minorEastAsia" w:eastAsiaTheme="minorEastAsia"/>
          <w:sz w:val="21"/>
        </w:rPr>
        <w:t>乗用</w:t>
      </w:r>
      <w:bookmarkStart w:id="0" w:name="_GoBack"/>
      <w:bookmarkEnd w:id="0"/>
      <w:r>
        <w:rPr>
          <w:rFonts w:hint="eastAsia" w:ascii="ＭＳ 明朝" w:hAnsi="ＭＳ 明朝" w:eastAsia="ＭＳ 明朝"/>
          <w:sz w:val="21"/>
        </w:rPr>
        <w:t>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1419</TotalTime>
  <Pages>10</Pages>
  <Words>69</Words>
  <Characters>5100</Characters>
  <Application>JUST Note</Application>
  <Lines>386</Lines>
  <Paragraphs>242</Paragraphs>
  <CharactersWithSpaces>5430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2026-01-15T23:55:32Z</cp:lastPrinted>
  <dcterms:created xsi:type="dcterms:W3CDTF">2023-04-11T23:40:00Z</dcterms:created>
  <dcterms:modified xsi:type="dcterms:W3CDTF">2026-01-28T02:50:21Z</dcterms:modified>
  <cp:revision>17</cp:revision>
</cp:coreProperties>
</file>