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第１５２号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3</w:t>
      </w:r>
      <w:r>
        <w:rPr>
          <w:rFonts w:hint="eastAsia"/>
          <w:sz w:val="22"/>
          <w:highlight w:val="none"/>
        </w:rPr>
        <w:t>月</w:t>
      </w:r>
      <w:r>
        <w:rPr>
          <w:rFonts w:hint="eastAsia"/>
          <w:sz w:val="22"/>
          <w:highlight w:val="none"/>
        </w:rPr>
        <w:t>19</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2025002131</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　市道鶴ヶ埣五蔵橋線防雪柵設置工事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古川地域</w:t>
      </w:r>
      <w:r>
        <w:rPr>
          <w:rFonts w:hint="eastAsia"/>
          <w:sz w:val="22"/>
        </w:rPr>
        <w:t xml:space="preserve"> </w:t>
      </w:r>
      <w:r>
        <w:rPr>
          <w:rFonts w:hint="eastAsia"/>
          <w:sz w:val="22"/>
        </w:rPr>
        <w:t>長岡針地内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12</w:t>
      </w:r>
      <w:r>
        <w:rPr>
          <w:rFonts w:hint="eastAsia"/>
          <w:sz w:val="22"/>
        </w:rPr>
        <w:t>月</w:t>
      </w:r>
      <w:r>
        <w:rPr>
          <w:rFonts w:hint="eastAsia"/>
          <w:sz w:val="22"/>
        </w:rPr>
        <w:t>25</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・施工延長</w:t>
      </w:r>
      <w:r>
        <w:rPr>
          <w:rFonts w:hint="eastAsia"/>
          <w:sz w:val="22"/>
        </w:rPr>
        <w:t xml:space="preserve"> </w:t>
      </w:r>
      <w:r>
        <w:rPr>
          <w:rFonts w:hint="eastAsia"/>
          <w:sz w:val="22"/>
        </w:rPr>
        <w:t>　</w:t>
      </w:r>
      <w:r>
        <w:rPr>
          <w:rFonts w:hint="eastAsia"/>
          <w:sz w:val="22"/>
        </w:rPr>
        <w:t>L=144.0m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・防雪柵工　</w:t>
      </w:r>
    </w:p>
    <w:p>
      <w:pPr>
        <w:pStyle w:val="0"/>
        <w:tabs>
          <w:tab w:val="left" w:leader="none" w:pos="2048"/>
          <w:tab w:val="left" w:leader="none" w:pos="2156"/>
          <w:tab w:val="left" w:leader="none" w:pos="4708"/>
        </w:tabs>
        <w:ind w:firstLine="1950" w:firstLineChars="900"/>
        <w:rPr>
          <w:rFonts w:hint="eastAsia"/>
          <w:sz w:val="22"/>
        </w:rPr>
      </w:pPr>
      <w:r>
        <w:rPr>
          <w:rFonts w:hint="eastAsia"/>
          <w:sz w:val="22"/>
        </w:rPr>
        <w:t>防雪柵設置（常設型）　</w:t>
      </w:r>
      <w:r>
        <w:rPr>
          <w:rFonts w:hint="eastAsia"/>
          <w:sz w:val="22"/>
        </w:rPr>
        <w:t>H=3.5m</w:t>
      </w:r>
      <w:r>
        <w:rPr>
          <w:rFonts w:hint="eastAsia"/>
          <w:sz w:val="22"/>
        </w:rPr>
        <w:t>タイプ　</w:t>
      </w:r>
      <w:r>
        <w:rPr>
          <w:rFonts w:hint="eastAsia"/>
          <w:sz w:val="22"/>
        </w:rPr>
        <w:t>L=104.0m</w:t>
      </w:r>
    </w:p>
    <w:p>
      <w:pPr>
        <w:pStyle w:val="0"/>
        <w:tabs>
          <w:tab w:val="left" w:leader="none" w:pos="2048"/>
          <w:tab w:val="left" w:leader="none" w:pos="2156"/>
          <w:tab w:val="left" w:leader="none" w:pos="4708"/>
        </w:tabs>
        <w:ind w:firstLine="1950" w:firstLineChars="900"/>
        <w:rPr>
          <w:rFonts w:hint="eastAsia"/>
          <w:sz w:val="22"/>
        </w:rPr>
      </w:pPr>
      <w:r>
        <w:rPr>
          <w:rFonts w:hint="eastAsia"/>
          <w:sz w:val="22"/>
        </w:rPr>
        <w:t>防雪柵設置（収納型）　</w:t>
      </w:r>
      <w:r>
        <w:rPr>
          <w:rFonts w:hint="eastAsia"/>
          <w:sz w:val="22"/>
        </w:rPr>
        <w:t>H=3.5m</w:t>
      </w:r>
      <w:r>
        <w:rPr>
          <w:rFonts w:hint="eastAsia"/>
          <w:sz w:val="22"/>
        </w:rPr>
        <w:t>タイプ　</w:t>
      </w:r>
      <w:r>
        <w:rPr>
          <w:rFonts w:hint="eastAsia"/>
          <w:sz w:val="22"/>
        </w:rPr>
        <w:t>L=40.0m</w:t>
      </w:r>
    </w:p>
    <w:p>
      <w:pPr>
        <w:pStyle w:val="0"/>
        <w:tabs>
          <w:tab w:val="left" w:leader="none" w:pos="2048"/>
          <w:tab w:val="left" w:leader="none" w:pos="2156"/>
          <w:tab w:val="left" w:leader="none" w:pos="4708"/>
        </w:tabs>
        <w:ind w:firstLine="1950" w:firstLineChars="900"/>
        <w:rPr>
          <w:rFonts w:hint="eastAsia"/>
          <w:sz w:val="22"/>
        </w:rPr>
      </w:pPr>
      <w:r>
        <w:rPr>
          <w:rFonts w:hint="eastAsia"/>
          <w:sz w:val="22"/>
        </w:rPr>
        <w:t>鋼管杭打込み（φ</w:t>
      </w:r>
      <w:r>
        <w:rPr>
          <w:rFonts w:hint="eastAsia"/>
          <w:sz w:val="22"/>
        </w:rPr>
        <w:t>355.6</w:t>
      </w:r>
      <w:r>
        <w:rPr>
          <w:rFonts w:hint="eastAsia"/>
          <w:sz w:val="22"/>
        </w:rPr>
        <w:t>×</w:t>
      </w:r>
      <w:r>
        <w:rPr>
          <w:rFonts w:hint="eastAsia"/>
          <w:sz w:val="22"/>
        </w:rPr>
        <w:t>6.4</w:t>
      </w:r>
      <w:r>
        <w:rPr>
          <w:rFonts w:hint="eastAsia"/>
          <w:sz w:val="22"/>
        </w:rPr>
        <w:t>）　</w:t>
      </w:r>
      <w:r>
        <w:rPr>
          <w:rFonts w:hint="eastAsia"/>
          <w:sz w:val="22"/>
        </w:rPr>
        <w:t>L=3.0m</w:t>
      </w:r>
      <w:r>
        <w:rPr>
          <w:rFonts w:hint="eastAsia"/>
          <w:sz w:val="22"/>
        </w:rPr>
        <w:t>　</w:t>
      </w:r>
      <w:r>
        <w:rPr>
          <w:rFonts w:hint="eastAsia"/>
          <w:sz w:val="22"/>
        </w:rPr>
        <w:t>N=37</w:t>
      </w:r>
      <w:r>
        <w:rPr>
          <w:rFonts w:hint="eastAsia"/>
          <w:sz w:val="22"/>
        </w:rPr>
        <w:t>本</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・舗装復旧工</w:t>
      </w:r>
      <w:r>
        <w:rPr>
          <w:rFonts w:hint="eastAsia"/>
          <w:sz w:val="22"/>
        </w:rPr>
        <w:t xml:space="preserve"> </w:t>
      </w:r>
      <w:r>
        <w:rPr>
          <w:rFonts w:hint="eastAsia"/>
          <w:sz w:val="22"/>
        </w:rPr>
        <w:t>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とび・土工・コンクリート工事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2435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3</w:t>
            </w:r>
            <w:r>
              <w:rPr>
                <w:rFonts w:hint="eastAsia"/>
                <w:sz w:val="22"/>
                <w:highlight w:val="none"/>
              </w:rPr>
              <w:t>月</w:t>
            </w:r>
            <w:r>
              <w:rPr>
                <w:rFonts w:hint="eastAsia"/>
                <w:sz w:val="22"/>
                <w:highlight w:val="none"/>
              </w:rPr>
              <w:t>23</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3</w:t>
            </w:r>
            <w:r>
              <w:rPr>
                <w:rFonts w:hint="eastAsia"/>
                <w:sz w:val="22"/>
                <w:highlight w:val="none"/>
              </w:rPr>
              <w:t>月</w:t>
            </w:r>
            <w:r>
              <w:rPr>
                <w:rFonts w:hint="eastAsia"/>
                <w:sz w:val="22"/>
                <w:highlight w:val="none"/>
              </w:rPr>
              <w:t>23</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3</w:t>
            </w:r>
            <w:r>
              <w:rPr>
                <w:rFonts w:hint="eastAsia"/>
                <w:sz w:val="22"/>
                <w:highlight w:val="none"/>
              </w:rPr>
              <w:t>月</w:t>
            </w:r>
            <w:r>
              <w:rPr>
                <w:rFonts w:hint="eastAsia"/>
                <w:sz w:val="22"/>
                <w:highlight w:val="none"/>
              </w:rPr>
              <w:t>27</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3</w:t>
            </w:r>
            <w:r>
              <w:rPr>
                <w:rFonts w:hint="eastAsia"/>
                <w:sz w:val="22"/>
                <w:highlight w:val="none"/>
              </w:rPr>
              <w:t>月</w:t>
            </w:r>
            <w:r>
              <w:rPr>
                <w:rFonts w:hint="eastAsia"/>
                <w:sz w:val="22"/>
                <w:highlight w:val="none"/>
              </w:rPr>
              <w:t>31</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2</w:t>
            </w:r>
            <w:bookmarkStart w:id="0" w:name="_GoBack"/>
            <w:bookmarkEnd w:id="0"/>
            <w:r>
              <w:rPr>
                <w:rFonts w:hint="eastAsia"/>
                <w:sz w:val="22"/>
                <w:highlight w:val="none"/>
              </w:rPr>
              <w:t>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大崎市役所本庁舎３階３０１会議室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1607</TotalTime>
  <Pages>11</Pages>
  <Words>83</Words>
  <Characters>5882</Characters>
  <Application>JUST Note</Application>
  <Lines>7498</Lines>
  <Paragraphs>334</Paragraphs>
  <Company>古川市</Company>
  <CharactersWithSpaces>6256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2026-03-17T00:47:37Z</cp:lastPrinted>
  <dcterms:created xsi:type="dcterms:W3CDTF">2022-07-05T05:23:00Z</dcterms:created>
  <dcterms:modified xsi:type="dcterms:W3CDTF">2026-03-17T00:43:19Z</dcterms:modified>
  <cp:revision>64</cp:revision>
</cp:coreProperties>
</file>