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rPr>
          <w:rFonts w:hint="default" w:ascii="ＭＳ 明朝" w:hAnsi="ＭＳ 明朝" w:eastAsia="ＭＳ 明朝"/>
          <w:sz w:val="21"/>
          <w:highlight w:val="none"/>
        </w:rPr>
      </w:pPr>
      <w:r>
        <w:rPr>
          <w:rFonts w:hint="eastAsia" w:ascii="ＭＳ 明朝" w:hAnsi="ＭＳ 明朝" w:eastAsia="ＭＳ 明朝"/>
          <w:sz w:val="21"/>
        </w:rPr>
        <w:t>大崎市公告</w:t>
      </w:r>
      <w:r>
        <w:rPr>
          <w:rFonts w:hint="eastAsia"/>
          <w:sz w:val="21"/>
          <w:highlight w:val="none"/>
        </w:rPr>
        <w:t>第１７３号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16</w:t>
      </w:r>
      <w:r>
        <w:rPr>
          <w:rFonts w:hint="eastAsia" w:ascii="ＭＳ 明朝" w:hAnsi="ＭＳ 明朝" w:eastAsia="ＭＳ 明朝"/>
          <w:sz w:val="21"/>
        </w:rPr>
        <w:t>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6692" w:leftChars="3042"/>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2026000356</w:t>
      </w:r>
    </w:p>
    <w:p>
      <w:pPr>
        <w:pStyle w:val="0"/>
        <w:kinsoku w:val="0"/>
        <w:spacing w:line="358" w:lineRule="exact"/>
        <w:ind w:left="1841" w:leftChars="314" w:hanging="1150" w:hangingChars="500"/>
        <w:rPr>
          <w:rFonts w:hint="default" w:ascii="ＭＳ 明朝" w:hAnsi="ＭＳ 明朝" w:eastAsia="ＭＳ 明朝"/>
          <w:sz w:val="21"/>
        </w:rPr>
      </w:pPr>
      <w:r>
        <w:rPr>
          <w:rFonts w:hint="eastAsia" w:ascii="ＭＳ 明朝" w:hAnsi="ＭＳ 明朝" w:eastAsia="ＭＳ 明朝"/>
          <w:sz w:val="21"/>
        </w:rPr>
        <w:t>件　　名　古川第四小学校外３校給食室空調整備工事設計業務</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（２）場　　所　大崎市古川大宮八丁目２番１号　外</w:t>
      </w:r>
    </w:p>
    <w:p>
      <w:pPr>
        <w:pStyle w:val="0"/>
        <w:kinsoku w:val="0"/>
        <w:spacing w:line="358" w:lineRule="exact"/>
        <w:rPr>
          <w:rFonts w:hint="default" w:ascii="ＭＳ 明朝" w:hAnsi="ＭＳ 明朝" w:eastAsia="ＭＳ 明朝"/>
          <w:sz w:val="21"/>
        </w:rPr>
      </w:pPr>
      <w:r>
        <w:rPr>
          <w:rFonts w:hint="eastAsia" w:ascii="ＭＳ 明朝" w:hAnsi="ＭＳ 明朝" w:eastAsia="ＭＳ 明朝"/>
          <w:sz w:val="21"/>
        </w:rPr>
        <w:t>（３）期　　間　契約日の翌日から令和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9</w:t>
      </w:r>
      <w:r>
        <w:rPr>
          <w:rFonts w:hint="eastAsia" w:ascii="ＭＳ 明朝" w:hAnsi="ＭＳ 明朝" w:eastAsia="ＭＳ 明朝"/>
          <w:sz w:val="21"/>
        </w:rPr>
        <w:t>月</w:t>
      </w:r>
      <w:r>
        <w:rPr>
          <w:rFonts w:hint="eastAsia" w:ascii="ＭＳ 明朝" w:hAnsi="ＭＳ 明朝" w:eastAsia="ＭＳ 明朝"/>
          <w:sz w:val="21"/>
        </w:rPr>
        <w:t>30</w:t>
      </w:r>
      <w:r>
        <w:rPr>
          <w:rFonts w:hint="eastAsia" w:ascii="ＭＳ 明朝" w:hAnsi="ＭＳ 明朝" w:eastAsia="ＭＳ 明朝"/>
          <w:sz w:val="21"/>
        </w:rPr>
        <w:t>日まで</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（４）業務概要　○建物概要</w:t>
      </w:r>
    </w:p>
    <w:p>
      <w:pPr>
        <w:pStyle w:val="0"/>
        <w:spacing w:line="360" w:lineRule="exact"/>
        <w:rPr>
          <w:rFonts w:hint="eastAsia" w:asciiTheme="minorEastAsia" w:hAnsiTheme="minorEastAsia" w:eastAsiaTheme="minorEastAsia"/>
          <w:sz w:val="21"/>
        </w:rPr>
      </w:pPr>
      <w:r>
        <w:rPr>
          <w:rFonts w:hint="eastAsia" w:asciiTheme="minorEastAsia" w:hAnsiTheme="minorEastAsia" w:eastAsiaTheme="minorEastAsia"/>
          <w:sz w:val="21"/>
        </w:rPr>
        <w:t>　　　　　　　　・大崎市立古川第四小学校　校舎</w:t>
      </w:r>
      <w:r>
        <w:rPr>
          <w:rFonts w:hint="eastAsia" w:asciiTheme="minorEastAsia" w:hAnsiTheme="minorEastAsia" w:eastAsiaTheme="minorEastAsia"/>
          <w:sz w:val="21"/>
        </w:rPr>
        <w:t>1-1</w:t>
      </w:r>
      <w:r>
        <w:rPr>
          <w:rFonts w:hint="eastAsia" w:asciiTheme="minorEastAsia" w:hAnsiTheme="minorEastAsia" w:eastAsiaTheme="minorEastAsia"/>
          <w:sz w:val="21"/>
        </w:rPr>
        <w:t>　：</w:t>
      </w:r>
      <w:r>
        <w:rPr>
          <w:rFonts w:hint="eastAsia" w:asciiTheme="minorEastAsia" w:hAnsiTheme="minorEastAsia" w:eastAsiaTheme="minorEastAsia"/>
          <w:sz w:val="21"/>
        </w:rPr>
        <w:t>RC</w:t>
      </w:r>
      <w:r>
        <w:rPr>
          <w:rFonts w:hint="eastAsia" w:asciiTheme="minorEastAsia" w:hAnsiTheme="minorEastAsia" w:eastAsiaTheme="minorEastAsia"/>
          <w:sz w:val="21"/>
        </w:rPr>
        <w:t>造</w:t>
      </w:r>
      <w:r>
        <w:rPr>
          <w:rFonts w:hint="eastAsia" w:asciiTheme="minorEastAsia" w:hAnsiTheme="minorEastAsia" w:eastAsiaTheme="minorEastAsia"/>
          <w:sz w:val="21"/>
        </w:rPr>
        <w:t>3</w:t>
      </w:r>
      <w:r>
        <w:rPr>
          <w:rFonts w:hint="eastAsia" w:asciiTheme="minorEastAsia" w:hAnsiTheme="minorEastAsia" w:eastAsiaTheme="minorEastAsia"/>
          <w:sz w:val="21"/>
        </w:rPr>
        <w:t>階建　</w:t>
      </w:r>
      <w:r>
        <w:rPr>
          <w:rFonts w:hint="eastAsia" w:asciiTheme="minorEastAsia" w:hAnsiTheme="minorEastAsia" w:eastAsiaTheme="minorEastAsia"/>
          <w:sz w:val="21"/>
        </w:rPr>
        <w:t>6,124</w:t>
      </w:r>
      <w:r>
        <w:rPr>
          <w:rFonts w:hint="eastAsia" w:asciiTheme="minorEastAsia" w:hAnsiTheme="minorEastAsia" w:eastAsiaTheme="minorEastAsia"/>
          <w:sz w:val="21"/>
        </w:rPr>
        <w:t>㎡　　</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・大崎市立古川第五小学校　校舎</w:t>
      </w:r>
      <w:r>
        <w:rPr>
          <w:rFonts w:hint="eastAsia" w:asciiTheme="minorEastAsia" w:hAnsiTheme="minorEastAsia" w:eastAsiaTheme="minorEastAsia"/>
          <w:sz w:val="21"/>
        </w:rPr>
        <w:t>1-1</w:t>
      </w:r>
      <w:r>
        <w:rPr>
          <w:rFonts w:hint="eastAsia" w:asciiTheme="minorEastAsia" w:hAnsiTheme="minorEastAsia" w:eastAsiaTheme="minorEastAsia"/>
          <w:sz w:val="21"/>
        </w:rPr>
        <w:t>　：</w:t>
      </w:r>
      <w:r>
        <w:rPr>
          <w:rFonts w:hint="eastAsia" w:asciiTheme="minorEastAsia" w:hAnsiTheme="minorEastAsia" w:eastAsiaTheme="minorEastAsia"/>
          <w:sz w:val="21"/>
        </w:rPr>
        <w:t>RC</w:t>
      </w:r>
      <w:r>
        <w:rPr>
          <w:rFonts w:hint="eastAsia" w:asciiTheme="minorEastAsia" w:hAnsiTheme="minorEastAsia" w:eastAsiaTheme="minorEastAsia"/>
          <w:sz w:val="21"/>
        </w:rPr>
        <w:t>造</w:t>
      </w:r>
      <w:r>
        <w:rPr>
          <w:rFonts w:hint="eastAsia" w:asciiTheme="minorEastAsia" w:hAnsiTheme="minorEastAsia" w:eastAsiaTheme="minorEastAsia"/>
          <w:sz w:val="21"/>
        </w:rPr>
        <w:t>3</w:t>
      </w:r>
      <w:r>
        <w:rPr>
          <w:rFonts w:hint="eastAsia" w:asciiTheme="minorEastAsia" w:hAnsiTheme="minorEastAsia" w:eastAsiaTheme="minorEastAsia"/>
          <w:sz w:val="21"/>
        </w:rPr>
        <w:t>階建　</w:t>
      </w:r>
      <w:r>
        <w:rPr>
          <w:rFonts w:hint="eastAsia" w:asciiTheme="minorEastAsia" w:hAnsiTheme="minorEastAsia" w:eastAsiaTheme="minorEastAsia"/>
          <w:sz w:val="21"/>
        </w:rPr>
        <w:t>6,408</w:t>
      </w:r>
      <w:r>
        <w:rPr>
          <w:rFonts w:hint="eastAsia" w:asciiTheme="minorEastAsia" w:hAnsiTheme="minorEastAsia" w:eastAsiaTheme="minorEastAsia"/>
          <w:sz w:val="21"/>
        </w:rPr>
        <w:t>㎡　　</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・大崎市立古川中学校　校舎</w:t>
      </w:r>
      <w:r>
        <w:rPr>
          <w:rFonts w:hint="eastAsia" w:asciiTheme="minorEastAsia" w:hAnsiTheme="minorEastAsia" w:eastAsiaTheme="minorEastAsia"/>
          <w:sz w:val="21"/>
        </w:rPr>
        <w:t>21</w:t>
      </w:r>
      <w:r>
        <w:rPr>
          <w:rFonts w:hint="eastAsia" w:asciiTheme="minorEastAsia" w:hAnsiTheme="minorEastAsia" w:eastAsiaTheme="minorEastAsia"/>
          <w:sz w:val="21"/>
        </w:rPr>
        <w:t>　：</w:t>
      </w:r>
      <w:r>
        <w:rPr>
          <w:rFonts w:hint="eastAsia" w:asciiTheme="minorEastAsia" w:hAnsiTheme="minorEastAsia" w:eastAsiaTheme="minorEastAsia"/>
          <w:sz w:val="21"/>
        </w:rPr>
        <w:t>RC</w:t>
      </w:r>
      <w:r>
        <w:rPr>
          <w:rFonts w:hint="eastAsia" w:asciiTheme="minorEastAsia" w:hAnsiTheme="minorEastAsia" w:eastAsiaTheme="minorEastAsia"/>
          <w:sz w:val="21"/>
        </w:rPr>
        <w:t>造</w:t>
      </w:r>
      <w:r>
        <w:rPr>
          <w:rFonts w:hint="eastAsia" w:asciiTheme="minorEastAsia" w:hAnsiTheme="minorEastAsia" w:eastAsiaTheme="minorEastAsia"/>
          <w:sz w:val="21"/>
        </w:rPr>
        <w:t>3</w:t>
      </w:r>
      <w:r>
        <w:rPr>
          <w:rFonts w:hint="eastAsia" w:asciiTheme="minorEastAsia" w:hAnsiTheme="minorEastAsia" w:eastAsiaTheme="minorEastAsia"/>
          <w:sz w:val="21"/>
        </w:rPr>
        <w:t>階建　</w:t>
      </w:r>
      <w:r>
        <w:rPr>
          <w:rFonts w:hint="eastAsia" w:asciiTheme="minorEastAsia" w:hAnsiTheme="minorEastAsia" w:eastAsiaTheme="minorEastAsia"/>
          <w:sz w:val="21"/>
        </w:rPr>
        <w:t>3,962</w:t>
      </w:r>
      <w:r>
        <w:rPr>
          <w:rFonts w:hint="eastAsia" w:asciiTheme="minorEastAsia" w:hAnsiTheme="minorEastAsia" w:eastAsiaTheme="minorEastAsia"/>
          <w:sz w:val="21"/>
        </w:rPr>
        <w:t>㎡　　</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・大崎市立古川東中学校　校舎</w:t>
      </w:r>
      <w:r>
        <w:rPr>
          <w:rFonts w:hint="eastAsia" w:asciiTheme="minorEastAsia" w:hAnsiTheme="minorEastAsia" w:eastAsiaTheme="minorEastAsia"/>
          <w:sz w:val="21"/>
        </w:rPr>
        <w:t>7</w:t>
      </w:r>
      <w:r>
        <w:rPr>
          <w:rFonts w:hint="eastAsia" w:asciiTheme="minorEastAsia" w:hAnsiTheme="minorEastAsia" w:eastAsiaTheme="minorEastAsia"/>
          <w:sz w:val="21"/>
        </w:rPr>
        <w:t>　：</w:t>
      </w:r>
      <w:r>
        <w:rPr>
          <w:rFonts w:hint="eastAsia" w:asciiTheme="minorEastAsia" w:hAnsiTheme="minorEastAsia" w:eastAsiaTheme="minorEastAsia"/>
          <w:sz w:val="21"/>
        </w:rPr>
        <w:t>RC</w:t>
      </w:r>
      <w:r>
        <w:rPr>
          <w:rFonts w:hint="eastAsia" w:asciiTheme="minorEastAsia" w:hAnsiTheme="minorEastAsia" w:eastAsiaTheme="minorEastAsia"/>
          <w:sz w:val="21"/>
        </w:rPr>
        <w:t>造</w:t>
      </w:r>
      <w:r>
        <w:rPr>
          <w:rFonts w:hint="eastAsia" w:asciiTheme="minorEastAsia" w:hAnsiTheme="minorEastAsia" w:eastAsiaTheme="minorEastAsia"/>
          <w:sz w:val="21"/>
        </w:rPr>
        <w:t>3</w:t>
      </w:r>
      <w:r>
        <w:rPr>
          <w:rFonts w:hint="eastAsia" w:asciiTheme="minorEastAsia" w:hAnsiTheme="minorEastAsia" w:eastAsiaTheme="minorEastAsia"/>
          <w:sz w:val="21"/>
        </w:rPr>
        <w:t>階建　</w:t>
      </w:r>
      <w:r>
        <w:rPr>
          <w:rFonts w:hint="eastAsia" w:asciiTheme="minorEastAsia" w:hAnsiTheme="minorEastAsia" w:eastAsiaTheme="minorEastAsia"/>
          <w:sz w:val="21"/>
        </w:rPr>
        <w:t>6,826</w:t>
      </w:r>
      <w:r>
        <w:rPr>
          <w:rFonts w:hint="eastAsia" w:asciiTheme="minorEastAsia" w:hAnsiTheme="minorEastAsia" w:eastAsiaTheme="minorEastAsia"/>
          <w:sz w:val="21"/>
        </w:rPr>
        <w:t>㎡</w:t>
      </w:r>
    </w:p>
    <w:p>
      <w:pPr>
        <w:pStyle w:val="0"/>
        <w:spacing w:line="360" w:lineRule="exact"/>
        <w:ind w:firstLine="1872" w:firstLineChars="800"/>
        <w:rPr>
          <w:rFonts w:hint="eastAsia" w:asciiTheme="minorEastAsia" w:hAnsiTheme="minorEastAsia" w:eastAsiaTheme="minorEastAsia"/>
          <w:sz w:val="21"/>
        </w:rPr>
      </w:pPr>
      <w:r>
        <w:rPr>
          <w:rFonts w:hint="eastAsia" w:asciiTheme="minorEastAsia" w:hAnsiTheme="minorEastAsia" w:eastAsiaTheme="minorEastAsia"/>
          <w:sz w:val="21"/>
        </w:rPr>
        <w:t>○対象室</w:t>
      </w: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sz w:val="21"/>
        </w:rPr>
        <w:t>　　　　　　　　・大崎市立古川第四小学校　：給食室（面積</w:t>
      </w:r>
      <w:r>
        <w:rPr>
          <w:rFonts w:hint="eastAsia" w:asciiTheme="minorEastAsia" w:hAnsiTheme="minorEastAsia" w:eastAsiaTheme="minorEastAsia"/>
          <w:sz w:val="21"/>
        </w:rPr>
        <w:t>150.00</w:t>
      </w:r>
      <w:r>
        <w:rPr>
          <w:rFonts w:hint="eastAsia" w:asciiTheme="minorEastAsia" w:hAnsiTheme="minorEastAsia" w:eastAsiaTheme="minorEastAsia"/>
          <w:sz w:val="21"/>
        </w:rPr>
        <w:t>㎡）　　</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・大崎市立古川第五小学校　：給食室（面積</w:t>
      </w:r>
      <w:r>
        <w:rPr>
          <w:rFonts w:hint="eastAsia" w:asciiTheme="minorEastAsia" w:hAnsiTheme="minorEastAsia" w:eastAsiaTheme="minorEastAsia"/>
          <w:sz w:val="21"/>
        </w:rPr>
        <w:t>144.45</w:t>
      </w:r>
      <w:r>
        <w:rPr>
          <w:rFonts w:hint="eastAsia" w:asciiTheme="minorEastAsia" w:hAnsiTheme="minorEastAsia" w:eastAsiaTheme="minorEastAsia"/>
          <w:sz w:val="21"/>
        </w:rPr>
        <w:t>㎡）　　</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・大崎市立古川中学校　：給食室（面積</w:t>
      </w:r>
      <w:r>
        <w:rPr>
          <w:rFonts w:hint="eastAsia" w:asciiTheme="minorEastAsia" w:hAnsiTheme="minorEastAsia" w:eastAsiaTheme="minorEastAsia"/>
          <w:sz w:val="21"/>
        </w:rPr>
        <w:t>149.08</w:t>
      </w:r>
      <w:r>
        <w:rPr>
          <w:rFonts w:hint="eastAsia" w:asciiTheme="minorEastAsia" w:hAnsiTheme="minorEastAsia" w:eastAsiaTheme="minorEastAsia"/>
          <w:sz w:val="21"/>
        </w:rPr>
        <w:t>㎡）　　</w:t>
      </w:r>
    </w:p>
    <w:p>
      <w:pPr>
        <w:pStyle w:val="0"/>
        <w:spacing w:line="360" w:lineRule="exact"/>
        <w:ind w:firstLine="1872" w:firstLineChars="800"/>
        <w:rPr>
          <w:rFonts w:hint="default" w:asciiTheme="minorEastAsia" w:hAnsiTheme="minorEastAsia" w:eastAsiaTheme="minorEastAsia"/>
          <w:sz w:val="21"/>
        </w:rPr>
      </w:pPr>
      <w:r>
        <w:rPr>
          <w:rFonts w:hint="eastAsia" w:asciiTheme="minorEastAsia" w:hAnsiTheme="minorEastAsia" w:eastAsiaTheme="minorEastAsia"/>
          <w:sz w:val="21"/>
        </w:rPr>
        <w:t>・大崎市立古川東中学校　：給食室（面積</w:t>
      </w:r>
      <w:r>
        <w:rPr>
          <w:rFonts w:hint="eastAsia" w:asciiTheme="minorEastAsia" w:hAnsiTheme="minorEastAsia" w:eastAsiaTheme="minorEastAsia"/>
          <w:sz w:val="21"/>
        </w:rPr>
        <w:t>124.81</w:t>
      </w:r>
      <w:r>
        <w:rPr>
          <w:rFonts w:hint="eastAsia" w:asciiTheme="minorEastAsia" w:hAnsiTheme="minorEastAsia" w:eastAsiaTheme="minorEastAsia"/>
          <w:sz w:val="21"/>
        </w:rPr>
        <w:t>㎡）</w:t>
      </w:r>
    </w:p>
    <w:p>
      <w:pPr>
        <w:pStyle w:val="0"/>
        <w:spacing w:line="360" w:lineRule="exact"/>
        <w:rPr>
          <w:rFonts w:hint="default" w:asciiTheme="minorEastAsia" w:hAnsiTheme="minorEastAsia" w:eastAsiaTheme="minorEastAsia"/>
          <w:sz w:val="21"/>
        </w:rPr>
      </w:pPr>
    </w:p>
    <w:p>
      <w:pPr>
        <w:pStyle w:val="0"/>
        <w:spacing w:line="360" w:lineRule="exact"/>
        <w:rPr>
          <w:rFonts w:hint="default" w:asciiTheme="minorEastAsia" w:hAnsiTheme="minorEastAsia" w:eastAsiaTheme="minorEastAsia"/>
          <w:sz w:val="21"/>
        </w:rPr>
      </w:pPr>
      <w:r>
        <w:rPr>
          <w:rFonts w:hint="eastAsia" w:asciiTheme="minorEastAsia" w:hAnsiTheme="minorEastAsia" w:eastAsiaTheme="minorEastAsia"/>
          <w:color w:val="000000"/>
          <w:sz w:val="21"/>
        </w:rPr>
        <w:t>（５）支払条件　</w:t>
      </w:r>
      <w:r>
        <w:rPr>
          <w:rFonts w:hint="eastAsia" w:asciiTheme="minorEastAsia" w:hAnsiTheme="minorEastAsia" w:eastAsiaTheme="minorEastAsia"/>
          <w:color w:val="000000"/>
          <w:sz w:val="21"/>
          <w:highlight w:val="none"/>
        </w:rPr>
        <w:t>前金払　有</w:t>
      </w:r>
    </w:p>
    <w:p>
      <w:pPr>
        <w:pStyle w:val="0"/>
        <w:kinsoku w:val="0"/>
        <w:wordWrap w:val="0"/>
        <w:spacing w:line="358" w:lineRule="exact"/>
        <w:ind w:left="2300" w:hanging="2300" w:hangingChars="1000"/>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rPr>
          <w:rFonts w:hint="default"/>
        </w:rPr>
      </w:pPr>
      <w:r>
        <w:rPr>
          <w:rFonts w:hint="eastAsia"/>
        </w:rPr>
        <w:t>大崎市建設関連業務に係る競争入札の参加資格等に関する規程第６条に規定する令和７・８年度又は令和８年度大崎市建設関連業務競争入札参加資格承認者名簿に登録されている業者で，下記の要件を満たしていること。</w:t>
      </w:r>
    </w:p>
    <w:p>
      <w:pPr>
        <w:pStyle w:val="16"/>
        <w:ind w:left="0" w:leftChars="0" w:firstLine="0" w:firstLineChars="0"/>
        <w:rPr>
          <w:rFonts w:hint="default"/>
        </w:rPr>
      </w:pPr>
    </w:p>
    <w:p>
      <w:pPr>
        <w:pStyle w:val="22"/>
        <w:rPr>
          <w:rFonts w:hint="default"/>
        </w:rPr>
      </w:pPr>
      <w:r>
        <w:rPr>
          <w:rFonts w:hint="eastAsia"/>
        </w:rPr>
        <w:t>記</w:t>
      </w:r>
    </w:p>
    <w:p>
      <w:pPr>
        <w:pStyle w:val="0"/>
        <w:rPr>
          <w:rFonts w:hint="default"/>
        </w:rPr>
      </w:pPr>
    </w:p>
    <w:tbl>
      <w:tblPr>
        <w:tblStyle w:val="11"/>
        <w:tblW w:w="990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02"/>
        <w:gridCol w:w="6501"/>
      </w:tblGrid>
      <w:tr>
        <w:trPr>
          <w:trHeight w:val="276" w:hRule="atLeast"/>
        </w:trPr>
        <w:tc>
          <w:tcPr>
            <w:tcW w:w="3402" w:type="dxa"/>
            <w:shd w:val="clear" w:color="auto" w:fill="auto"/>
            <w:vAlign w:val="top"/>
          </w:tcPr>
          <w:p>
            <w:pPr>
              <w:pStyle w:val="16"/>
              <w:ind w:left="0" w:leftChars="0" w:firstLine="0" w:firstLineChars="0"/>
              <w:rPr>
                <w:rFonts w:hint="default"/>
              </w:rPr>
            </w:pPr>
            <w:r>
              <w:rPr>
                <w:rFonts w:hint="eastAsia"/>
              </w:rPr>
              <w:t>登録業種及び登録部門</w:t>
            </w:r>
          </w:p>
        </w:tc>
        <w:tc>
          <w:tcPr>
            <w:tcW w:w="6501" w:type="dxa"/>
            <w:shd w:val="clear" w:color="auto" w:fill="auto"/>
            <w:vAlign w:val="top"/>
          </w:tcPr>
          <w:p>
            <w:pPr>
              <w:pStyle w:val="16"/>
              <w:ind w:left="0" w:leftChars="0" w:firstLine="0" w:firstLineChars="0"/>
              <w:rPr>
                <w:rFonts w:hint="default"/>
              </w:rPr>
            </w:pPr>
            <w:r>
              <w:rPr>
                <w:rFonts w:hint="eastAsia"/>
              </w:rPr>
              <w:t>業種：建築関係建設コンサルタント業務，部門：建築一般</w:t>
            </w:r>
          </w:p>
        </w:tc>
      </w:tr>
      <w:tr>
        <w:trPr>
          <w:trHeight w:val="258" w:hRule="atLeast"/>
        </w:trPr>
        <w:tc>
          <w:tcPr>
            <w:tcW w:w="3402" w:type="dxa"/>
            <w:shd w:val="clear" w:color="auto" w:fill="auto"/>
            <w:vAlign w:val="top"/>
          </w:tcPr>
          <w:p>
            <w:pPr>
              <w:pStyle w:val="16"/>
              <w:ind w:left="0" w:leftChars="0" w:firstLine="0" w:firstLineChars="0"/>
              <w:rPr>
                <w:rFonts w:hint="default"/>
              </w:rPr>
            </w:pPr>
            <w:r>
              <w:rPr>
                <w:rFonts w:hint="eastAsia"/>
              </w:rPr>
              <w:t>事業所の所在地に関する条件</w:t>
            </w: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jc w:val="both"/>
              <w:rPr>
                <w:rFonts w:hint="default"/>
              </w:rPr>
            </w:pPr>
            <w:r>
              <w:rPr>
                <w:rFonts w:hint="eastAsia" w:asciiTheme="minorEastAsia" w:hAnsiTheme="minorEastAsia" w:eastAsiaTheme="minorEastAsia"/>
                <w:sz w:val="22"/>
              </w:rPr>
              <w:t>市内に本社（店）又は受任機関の登録を有すること。</w:t>
            </w:r>
          </w:p>
        </w:tc>
      </w:tr>
      <w:tr>
        <w:trPr>
          <w:trHeight w:val="1074" w:hRule="atLeast"/>
        </w:trPr>
        <w:tc>
          <w:tcPr>
            <w:tcW w:w="3402" w:type="dxa"/>
            <w:vMerge w:val="restart"/>
            <w:shd w:val="clear" w:color="auto" w:fill="auto"/>
            <w:vAlign w:val="top"/>
          </w:tcPr>
          <w:p>
            <w:pPr>
              <w:pStyle w:val="16"/>
              <w:ind w:left="0" w:leftChars="0" w:firstLine="0" w:firstLineChars="0"/>
              <w:rPr>
                <w:rFonts w:hint="default"/>
                <w:color w:val="FF0000"/>
              </w:rPr>
            </w:pPr>
            <w:r>
              <w:rPr>
                <w:rFonts w:hint="eastAsia"/>
              </w:rPr>
              <w:t>配置技術者に関する条件</w:t>
            </w:r>
          </w:p>
        </w:tc>
        <w:tc>
          <w:tcPr>
            <w:tcW w:w="6501" w:type="dxa"/>
            <w:shd w:val="clear" w:color="auto" w:fill="auto"/>
            <w:vAlign w:val="top"/>
          </w:tcPr>
          <w:p>
            <w:pPr>
              <w:pStyle w:val="16"/>
              <w:ind w:left="0" w:leftChars="0" w:firstLine="0" w:firstLineChars="0"/>
              <w:rPr>
                <w:rFonts w:hint="default"/>
              </w:rPr>
            </w:pPr>
            <w:r>
              <w:rPr>
                <w:rFonts w:hint="eastAsia"/>
              </w:rPr>
              <w:t>管理技術者は，入札期日（６の表に定める開札の期日をいう。</w:t>
            </w:r>
            <w:r>
              <w:rPr>
                <w:rFonts w:hint="default" w:ascii="ＭＳ 明朝" w:hAnsi="ＭＳ 明朝"/>
              </w:rPr>
              <w:t>）</w:t>
            </w:r>
            <w:r>
              <w:rPr>
                <w:rFonts w:hint="eastAsia"/>
              </w:rPr>
              <w:t>の前日から起算して３か月以上前から，引き続き入札参加業者と直接的かつ恒常的な雇用関係にある者であること。</w:t>
            </w:r>
          </w:p>
        </w:tc>
      </w:tr>
      <w:tr>
        <w:trPr>
          <w:trHeight w:val="783" w:hRule="atLeast"/>
        </w:trPr>
        <w:tc>
          <w:tcPr>
            <w:tcW w:w="3402" w:type="dxa"/>
            <w:vMerge w:val="continue"/>
            <w:shd w:val="clear" w:color="auto" w:fill="auto"/>
            <w:vAlign w:val="top"/>
          </w:tcPr>
          <w:p>
            <w:pPr>
              <w:pStyle w:val="0"/>
              <w:rPr>
                <w:rFonts w:hint="eastAsia"/>
              </w:rPr>
            </w:pP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asciiTheme="minorEastAsia" w:hAnsiTheme="minorEastAsia" w:eastAsiaTheme="minorEastAsia"/>
              </w:rPr>
              <w:t>管理技術者は，建築士法（昭和２５年法律第２０２号）による一級建築士として意匠設計又は工事監理に関し８年以上の実務経験を有する者であること。</w:t>
            </w:r>
          </w:p>
        </w:tc>
      </w:tr>
      <w:tr>
        <w:trPr>
          <w:trHeight w:val="783" w:hRule="atLeast"/>
        </w:trPr>
        <w:tc>
          <w:tcPr>
            <w:tcW w:w="3402" w:type="dxa"/>
            <w:vMerge w:val="continue"/>
            <w:shd w:val="clear" w:color="auto" w:fill="auto"/>
            <w:vAlign w:val="top"/>
          </w:tcPr>
          <w:p>
            <w:pPr>
              <w:pStyle w:val="0"/>
              <w:rPr>
                <w:rFonts w:hint="eastAsia"/>
              </w:rPr>
            </w:pPr>
          </w:p>
        </w:tc>
        <w:tc>
          <w:tcPr>
            <w:tcW w:w="650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rPr>
            </w:pPr>
            <w:r>
              <w:rPr>
                <w:rFonts w:hint="eastAsia"/>
              </w:rPr>
              <w:t>照査技術者は，建築士法（昭和２５年法律第２０２号）による一級建築士として意匠設計又は工事監理に関し１０年以上の実務経験を有する者であること。</w:t>
            </w:r>
          </w:p>
        </w:tc>
      </w:tr>
      <w:tr>
        <w:trPr>
          <w:trHeight w:val="70" w:hRule="atLeast"/>
        </w:trPr>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rPr>
            </w:pPr>
            <w:r>
              <w:rPr>
                <w:rFonts w:hint="eastAsia"/>
              </w:rPr>
              <w:t>その他</w:t>
            </w:r>
          </w:p>
        </w:tc>
        <w:tc>
          <w:tcPr>
            <w:tcW w:w="6501" w:type="dxa"/>
            <w:shd w:val="clear" w:color="auto" w:fill="auto"/>
            <w:vAlign w:val="top"/>
          </w:tcPr>
          <w:p>
            <w:pPr>
              <w:pStyle w:val="16"/>
              <w:ind w:left="0" w:leftChars="0" w:firstLine="0" w:firstLineChars="0"/>
              <w:rPr>
                <w:rFonts w:hint="default"/>
              </w:rPr>
            </w:pPr>
            <w:r>
              <w:rPr>
                <w:rFonts w:hint="eastAsia"/>
              </w:rPr>
              <w:t>別紙条件付き一般競争入札（事後審査型）公告共通事項に示すとおりとする。</w:t>
            </w:r>
          </w:p>
        </w:tc>
      </w:tr>
    </w:tbl>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90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3123"/>
        <w:gridCol w:w="1784"/>
        <w:gridCol w:w="3578"/>
      </w:tblGrid>
      <w:tr>
        <w:trPr/>
        <w:tc>
          <w:tcPr>
            <w:tcW w:w="1418"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123"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84"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78" w:type="dxa"/>
            <w:vAlign w:val="top"/>
          </w:tcPr>
          <w:p>
            <w:pPr>
              <w:pStyle w:val="0"/>
              <w:kinsoku w:val="0"/>
              <w:wordWrap w:val="0"/>
              <w:spacing w:line="358" w:lineRule="exact"/>
              <w:jc w:val="center"/>
              <w:rPr>
                <w:rFonts w:hint="default" w:ascii="ＭＳ 明朝" w:hAnsi="ＭＳ 明朝" w:eastAsia="ＭＳ 明朝"/>
                <w:sz w:val="21"/>
              </w:rPr>
            </w:pPr>
            <w:r>
              <w:rPr>
                <w:rFonts w:hint="eastAsia" w:ascii="ＭＳ 明朝" w:hAnsi="ＭＳ 明朝" w:eastAsia="ＭＳ 明朝"/>
                <w:sz w:val="21"/>
              </w:rPr>
              <w:t>住所</w:t>
            </w:r>
          </w:p>
        </w:tc>
      </w:tr>
      <w:tr>
        <w:trPr>
          <w:cantSplit/>
          <w:trHeight w:val="115" w:hRule="atLeast"/>
        </w:trPr>
        <w:tc>
          <w:tcPr>
            <w:tcW w:w="1418" w:type="dxa"/>
            <w:vAlign w:val="center"/>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入札担当課</w:t>
            </w:r>
          </w:p>
        </w:tc>
        <w:tc>
          <w:tcPr>
            <w:tcW w:w="3123"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大崎市総務部財政課</w:t>
            </w:r>
          </w:p>
        </w:tc>
        <w:tc>
          <w:tcPr>
            <w:tcW w:w="1784" w:type="dxa"/>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0229-23-5177</w:t>
            </w:r>
          </w:p>
        </w:tc>
        <w:tc>
          <w:tcPr>
            <w:tcW w:w="3578" w:type="dxa"/>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84" w:hRule="atLeast"/>
        </w:trPr>
        <w:tc>
          <w:tcPr>
            <w:tcW w:w="1418" w:type="dxa"/>
            <w:vAlign w:val="center"/>
          </w:tcPr>
          <w:p>
            <w:pPr>
              <w:pStyle w:val="0"/>
              <w:rPr>
                <w:rFonts w:hint="default"/>
                <w:sz w:val="21"/>
              </w:rPr>
            </w:pPr>
            <w:r>
              <w:rPr>
                <w:rFonts w:hint="eastAsia"/>
                <w:sz w:val="21"/>
              </w:rPr>
              <w:t>業務担当課</w:t>
            </w:r>
          </w:p>
        </w:tc>
        <w:tc>
          <w:tcPr>
            <w:tcW w:w="3123" w:type="dxa"/>
            <w:vAlign w:val="center"/>
          </w:tcPr>
          <w:p>
            <w:pPr>
              <w:pStyle w:val="0"/>
              <w:kinsoku w:val="0"/>
              <w:wordWrap w:val="0"/>
              <w:spacing w:line="358" w:lineRule="exact"/>
              <w:jc w:val="both"/>
              <w:rPr>
                <w:rFonts w:hint="default"/>
                <w:sz w:val="21"/>
              </w:rPr>
            </w:pPr>
            <w:r>
              <w:rPr>
                <w:rFonts w:hint="eastAsia" w:ascii="ＭＳ 明朝" w:hAnsi="ＭＳ 明朝" w:eastAsia="ＭＳ 明朝"/>
                <w:sz w:val="21"/>
              </w:rPr>
              <w:t>大崎市建設部建築住宅課</w:t>
            </w:r>
          </w:p>
        </w:tc>
        <w:tc>
          <w:tcPr>
            <w:tcW w:w="1784" w:type="dxa"/>
            <w:vAlign w:val="center"/>
          </w:tcPr>
          <w:p>
            <w:pPr>
              <w:pStyle w:val="0"/>
              <w:rPr>
                <w:rFonts w:hint="default"/>
                <w:sz w:val="21"/>
              </w:rPr>
            </w:pPr>
            <w:r>
              <w:rPr>
                <w:rFonts w:hint="eastAsia" w:ascii="ＭＳ 明朝" w:hAnsi="ＭＳ 明朝" w:eastAsia="ＭＳ 明朝"/>
                <w:sz w:val="21"/>
              </w:rPr>
              <w:t>0229-23-2282</w:t>
            </w:r>
          </w:p>
        </w:tc>
        <w:tc>
          <w:tcPr>
            <w:tcW w:w="3578" w:type="dxa"/>
            <w:shd w:val="clear" w:color="auto" w:fill="auto"/>
            <w:vAlign w:val="top"/>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color w:val="000000"/>
          <w:sz w:val="21"/>
        </w:rPr>
        <w:t>６　</w:t>
      </w:r>
      <w:r>
        <w:rPr>
          <w:rFonts w:hint="eastAsia" w:ascii="ＭＳ 明朝" w:hAnsi="ＭＳ 明朝" w:eastAsia="ＭＳ 明朝"/>
          <w:sz w:val="21"/>
        </w:rPr>
        <w:t>入札日程</w:t>
      </w:r>
    </w:p>
    <w:tbl>
      <w:tblPr>
        <w:tblStyle w:val="11"/>
        <w:tblW w:w="10163"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233"/>
        <w:gridCol w:w="4512"/>
      </w:tblGrid>
      <w:tr>
        <w:trPr>
          <w:trHeight w:val="70" w:hRule="atLeast"/>
        </w:trPr>
        <w:tc>
          <w:tcPr>
            <w:tcW w:w="141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233"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12"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724" w:hRule="atLeast"/>
        </w:trPr>
        <w:tc>
          <w:tcPr>
            <w:tcW w:w="1418" w:type="dxa"/>
            <w:vAlign w:val="top"/>
          </w:tcPr>
          <w:p>
            <w:pPr>
              <w:pStyle w:val="0"/>
              <w:rPr>
                <w:rFonts w:hint="default"/>
                <w:sz w:val="21"/>
              </w:rPr>
            </w:pPr>
            <w:r>
              <w:rPr>
                <w:rFonts w:hint="eastAsia"/>
                <w:sz w:val="21"/>
              </w:rPr>
              <w:t>設計図書等</w:t>
            </w:r>
          </w:p>
          <w:p>
            <w:pPr>
              <w:pStyle w:val="0"/>
              <w:rPr>
                <w:rFonts w:hint="default"/>
                <w:sz w:val="21"/>
              </w:rPr>
            </w:pPr>
            <w:r>
              <w:rPr>
                <w:rFonts w:hint="eastAsia"/>
                <w:sz w:val="21"/>
              </w:rPr>
              <w:t>の閲覧</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17</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 xml:space="preserve"> 8</w:t>
            </w:r>
            <w:r>
              <w:rPr>
                <w:rFonts w:hint="eastAsia"/>
                <w:sz w:val="22"/>
                <w:highlight w:val="none"/>
              </w:rPr>
              <w:t>日（金）</w:t>
            </w:r>
            <w:r>
              <w:rPr>
                <w:rFonts w:hint="default"/>
                <w:sz w:val="22"/>
                <w:highlight w:val="none"/>
              </w:rPr>
              <w:t>までの</w:t>
            </w:r>
          </w:p>
          <w:p>
            <w:pPr>
              <w:pStyle w:val="0"/>
              <w:rPr>
                <w:rFonts w:hint="default"/>
                <w:sz w:val="21"/>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r>
        <w:trPr>
          <w:trHeight w:val="633" w:hRule="atLeast"/>
        </w:trPr>
        <w:tc>
          <w:tcPr>
            <w:tcW w:w="1418" w:type="dxa"/>
            <w:vAlign w:val="top"/>
          </w:tcPr>
          <w:p>
            <w:pPr>
              <w:pStyle w:val="0"/>
              <w:rPr>
                <w:rFonts w:hint="default"/>
                <w:sz w:val="21"/>
              </w:rPr>
            </w:pPr>
            <w:r>
              <w:rPr>
                <w:rFonts w:hint="eastAsia"/>
                <w:sz w:val="21"/>
              </w:rPr>
              <w:t>質問の受付</w:t>
            </w:r>
          </w:p>
        </w:tc>
        <w:tc>
          <w:tcPr>
            <w:tcW w:w="4233"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17</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23</w:t>
            </w:r>
            <w:r>
              <w:rPr>
                <w:rFonts w:hint="eastAsia"/>
                <w:sz w:val="22"/>
                <w:highlight w:val="none"/>
              </w:rPr>
              <w:t>日（木）午後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大崎市役所本庁舎４階　</w:t>
            </w:r>
            <w:r>
              <w:rPr>
                <w:rFonts w:hint="default"/>
                <w:sz w:val="21"/>
              </w:rPr>
              <w:t>財政課</w:t>
            </w:r>
          </w:p>
        </w:tc>
      </w:tr>
      <w:tr>
        <w:trPr>
          <w:trHeight w:val="535" w:hRule="atLeast"/>
        </w:trPr>
        <w:tc>
          <w:tcPr>
            <w:tcW w:w="1418" w:type="dxa"/>
            <w:vAlign w:val="top"/>
          </w:tcPr>
          <w:p>
            <w:pPr>
              <w:pStyle w:val="0"/>
              <w:rPr>
                <w:rFonts w:hint="default"/>
                <w:sz w:val="21"/>
              </w:rPr>
            </w:pPr>
            <w:r>
              <w:rPr>
                <w:rFonts w:hint="eastAsia"/>
                <w:sz w:val="21"/>
              </w:rPr>
              <w:t>質問の回答</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27</w:t>
            </w:r>
            <w:r>
              <w:rPr>
                <w:rFonts w:hint="eastAsia"/>
                <w:sz w:val="22"/>
                <w:highlight w:val="none"/>
              </w:rPr>
              <w:t>日（月）午後</w:t>
            </w:r>
            <w:r>
              <w:rPr>
                <w:rFonts w:hint="eastAsia"/>
                <w:sz w:val="22"/>
                <w:highlight w:val="none"/>
              </w:rPr>
              <w:t>4</w:t>
            </w:r>
            <w:r>
              <w:rPr>
                <w:rFonts w:hint="eastAsia"/>
                <w:sz w:val="22"/>
                <w:highlight w:val="none"/>
              </w:rPr>
              <w:t>時まで</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w:t>
            </w:r>
            <w:r>
              <w:rPr>
                <w:rFonts w:hint="default"/>
                <w:sz w:val="21"/>
              </w:rPr>
              <w:t>市政情報センター</w:t>
            </w:r>
          </w:p>
          <w:p>
            <w:pPr>
              <w:pStyle w:val="0"/>
              <w:rPr>
                <w:rFonts w:hint="default"/>
                <w:sz w:val="21"/>
              </w:rPr>
            </w:pPr>
            <w:r>
              <w:rPr>
                <w:rFonts w:hint="eastAsia"/>
                <w:sz w:val="21"/>
              </w:rPr>
              <w:t>及び大崎市公式ウェブサイト</w:t>
            </w:r>
          </w:p>
        </w:tc>
      </w:tr>
      <w:tr>
        <w:trPr>
          <w:trHeight w:val="612" w:hRule="atLeast"/>
        </w:trPr>
        <w:tc>
          <w:tcPr>
            <w:tcW w:w="1418"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4233" w:type="dxa"/>
            <w:vAlign w:val="top"/>
          </w:tcPr>
          <w:p>
            <w:pPr>
              <w:pStyle w:val="0"/>
              <w:rPr>
                <w:rFonts w:hint="default"/>
                <w:sz w:val="21"/>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11</w:t>
            </w:r>
            <w:r>
              <w:rPr>
                <w:rFonts w:hint="eastAsia"/>
                <w:sz w:val="22"/>
                <w:highlight w:val="none"/>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512"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大崎市総務部財政課</w:t>
            </w:r>
          </w:p>
        </w:tc>
      </w:tr>
      <w:tr>
        <w:trPr>
          <w:trHeight w:val="70" w:hRule="atLeast"/>
        </w:trPr>
        <w:tc>
          <w:tcPr>
            <w:tcW w:w="1418" w:type="dxa"/>
            <w:vAlign w:val="top"/>
          </w:tcPr>
          <w:p>
            <w:pPr>
              <w:pStyle w:val="0"/>
              <w:rPr>
                <w:rFonts w:hint="default"/>
                <w:sz w:val="21"/>
              </w:rPr>
            </w:pPr>
            <w:r>
              <w:rPr>
                <w:rFonts w:hint="eastAsia"/>
                <w:sz w:val="21"/>
              </w:rPr>
              <w:t>開札</w:t>
            </w:r>
          </w:p>
        </w:tc>
        <w:tc>
          <w:tcPr>
            <w:tcW w:w="4233"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5</w:t>
            </w:r>
            <w:r>
              <w:rPr>
                <w:rFonts w:hint="eastAsia"/>
                <w:sz w:val="22"/>
                <w:highlight w:val="none"/>
              </w:rPr>
              <w:t>月</w:t>
            </w:r>
            <w:r>
              <w:rPr>
                <w:rFonts w:hint="eastAsia"/>
                <w:sz w:val="22"/>
                <w:highlight w:val="none"/>
              </w:rPr>
              <w:t>13</w:t>
            </w:r>
            <w:r>
              <w:rPr>
                <w:rFonts w:hint="eastAsia"/>
                <w:sz w:val="22"/>
                <w:highlight w:val="none"/>
              </w:rPr>
              <w:t>日（水）</w:t>
            </w:r>
          </w:p>
          <w:p>
            <w:pPr>
              <w:pStyle w:val="0"/>
              <w:rPr>
                <w:rFonts w:hint="default"/>
                <w:sz w:val="21"/>
              </w:rPr>
            </w:pPr>
            <w:r>
              <w:rPr>
                <w:rFonts w:hint="eastAsia"/>
                <w:sz w:val="22"/>
                <w:highlight w:val="none"/>
              </w:rPr>
              <w:t>午前</w:t>
            </w:r>
            <w:r>
              <w:rPr>
                <w:rFonts w:hint="eastAsia"/>
                <w:sz w:val="22"/>
                <w:highlight w:val="none"/>
              </w:rPr>
              <w:t>9</w:t>
            </w:r>
            <w:r>
              <w:rPr>
                <w:rFonts w:hint="eastAsia"/>
                <w:sz w:val="22"/>
                <w:highlight w:val="none"/>
              </w:rPr>
              <w:t>時</w:t>
            </w:r>
            <w:r>
              <w:rPr>
                <w:rFonts w:hint="eastAsia"/>
                <w:sz w:val="22"/>
                <w:highlight w:val="none"/>
              </w:rPr>
              <w:t>40</w:t>
            </w:r>
            <w:r>
              <w:rPr>
                <w:rFonts w:hint="eastAsia"/>
                <w:sz w:val="22"/>
                <w:highlight w:val="none"/>
              </w:rPr>
              <w:t>分</w:t>
            </w:r>
            <w:r>
              <w:rPr>
                <w:rFonts w:hint="default"/>
                <w:sz w:val="22"/>
                <w:highlight w:val="none"/>
              </w:rPr>
              <w:t>から</w:t>
            </w:r>
          </w:p>
        </w:tc>
        <w:tc>
          <w:tcPr>
            <w:tcW w:w="4512" w:type="dxa"/>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大崎市古川七日町１番１号</w:t>
            </w:r>
          </w:p>
          <w:p>
            <w:pPr>
              <w:pStyle w:val="0"/>
              <w:rPr>
                <w:rFonts w:hint="default" w:asciiTheme="minorEastAsia" w:hAnsiTheme="minorEastAsia" w:eastAsiaTheme="minorEastAsia"/>
                <w:sz w:val="21"/>
              </w:rPr>
            </w:pPr>
            <w:r>
              <w:rPr>
                <w:rFonts w:hint="eastAsia"/>
                <w:sz w:val="22"/>
                <w:highlight w:val="none"/>
              </w:rPr>
              <w:t>大崎市役所東庁舎１階</w:t>
            </w:r>
            <w:r>
              <w:rPr>
                <w:rFonts w:hint="eastAsia"/>
                <w:sz w:val="22"/>
              </w:rPr>
              <w:t>１０１</w:t>
            </w:r>
            <w:bookmarkStart w:id="0" w:name="_GoBack"/>
            <w:bookmarkEnd w:id="0"/>
            <w:r>
              <w:rPr>
                <w:rFonts w:hint="eastAsia"/>
                <w:sz w:val="22"/>
              </w:rPr>
              <w:t>会議室</w:t>
            </w:r>
          </w:p>
        </w:tc>
      </w:tr>
      <w:tr>
        <w:trPr>
          <w:trHeight w:val="70" w:hRule="atLeast"/>
        </w:trPr>
        <w:tc>
          <w:tcPr>
            <w:tcW w:w="1418"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4233" w:type="dxa"/>
            <w:vAlign w:val="top"/>
          </w:tcPr>
          <w:p>
            <w:pPr>
              <w:pStyle w:val="0"/>
              <w:rPr>
                <w:rFonts w:hint="default"/>
                <w:sz w:val="21"/>
              </w:rPr>
            </w:pPr>
            <w:r>
              <w:rPr>
                <w:rFonts w:hint="eastAsia"/>
                <w:sz w:val="21"/>
              </w:rPr>
              <w:t>落札決定後に公表</w:t>
            </w:r>
          </w:p>
        </w:tc>
        <w:tc>
          <w:tcPr>
            <w:tcW w:w="4512"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（注１）上記の期間は，土曜日，日曜日，国民の祝日に関する法律（昭和２３年法律第１７８号）に規定する休日を除く。</w:t>
      </w:r>
    </w:p>
    <w:p>
      <w:pPr>
        <w:pStyle w:val="0"/>
        <w:kinsoku w:val="0"/>
        <w:wordWrap w:val="0"/>
        <w:spacing w:line="358" w:lineRule="exact"/>
        <w:ind w:left="110" w:leftChars="50"/>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入札執行者から開札後入札参加確認書類の提出を求められた場合は，下記の書類を提出す</w:t>
      </w:r>
    </w:p>
    <w:p>
      <w:pPr>
        <w:pStyle w:val="0"/>
        <w:kinsoku w:val="0"/>
        <w:wordWrap w:val="0"/>
        <w:spacing w:line="358" w:lineRule="exact"/>
        <w:ind w:left="220" w:leftChars="100" w:firstLine="230" w:firstLineChars="100"/>
        <w:rPr>
          <w:rFonts w:hint="eastAsia"/>
        </w:rPr>
      </w:pPr>
      <w:r>
        <w:rPr>
          <w:rFonts w:hint="eastAsia" w:ascii="ＭＳ 明朝" w:hAnsi="ＭＳ 明朝" w:eastAsia="ＭＳ 明朝"/>
          <w:sz w:val="21"/>
        </w:rPr>
        <w:t>ること。</w:t>
      </w:r>
    </w:p>
    <w:tbl>
      <w:tblPr>
        <w:tblStyle w:val="11"/>
        <w:tblpPr w:leftFromText="142" w:rightFromText="142" w:topFromText="0" w:bottomFromText="0" w:vertAnchor="text" w:horzAnchor="text" w:tblpX="117" w:tblpY="29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7704"/>
        <w:gridCol w:w="1752"/>
      </w:tblGrid>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（１）配置技術者に関する調書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（２）配置技術者の資格証の写し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（３）管理技術者等との雇用関係が確認できる書類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（４）大崎市競争入札参加資格承認通知書の写し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kinsoku w:val="0"/>
              <w:wordWrap w:val="0"/>
              <w:spacing w:line="358" w:lineRule="exact"/>
              <w:rPr>
                <w:rFonts w:hint="eastAsia"/>
              </w:rPr>
            </w:pPr>
            <w:r>
              <w:rPr>
                <w:rFonts w:hint="eastAsia" w:asciiTheme="minorEastAsia" w:hAnsiTheme="minorEastAsia" w:eastAsiaTheme="minorEastAsia"/>
                <w:sz w:val="21"/>
              </w:rPr>
              <w:t>（５）その他入札執行者が入札参加資格確認のため必要と認めた書類</w:t>
            </w:r>
            <w:r>
              <w:rPr>
                <w:rFonts w:hint="eastAsia" w:asciiTheme="minorEastAsia" w:hAnsiTheme="minorEastAsia" w:eastAsiaTheme="minorEastAsia"/>
                <w:sz w:val="21"/>
              </w:rPr>
              <w:t xml:space="preserve">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r>
        <w:trPr>
          <w:trHeight w:val="370" w:hRule="atLeast"/>
        </w:trPr>
        <w:tc>
          <w:tcPr>
            <w:tcW w:w="7704"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（６）委任状（代表者以外の者が，上記の書類を提出する場合）　　　　　</w:t>
            </w:r>
          </w:p>
        </w:tc>
        <w:tc>
          <w:tcPr>
            <w:tcW w:w="1752" w:type="dxa"/>
            <w:tcBorders>
              <w:top w:val="nil"/>
              <w:left w:val="nil"/>
              <w:bottom w:val="nil"/>
              <w:right w:val="nil"/>
              <w:tl2br w:val="none" w:color="auto" w:sz="0" w:space="0"/>
              <w:tr2bl w:val="none" w:color="auto" w:sz="0" w:space="0"/>
            </w:tcBorders>
            <w:vAlign w:val="top"/>
          </w:tcPr>
          <w:p>
            <w:pPr>
              <w:pStyle w:val="0"/>
              <w:rPr>
                <w:rFonts w:hint="eastAsia"/>
              </w:rPr>
            </w:pPr>
            <w:r>
              <w:rPr>
                <w:rFonts w:hint="eastAsia" w:asciiTheme="minorEastAsia" w:hAnsiTheme="minorEastAsia" w:eastAsiaTheme="minorEastAsia"/>
                <w:sz w:val="21"/>
              </w:rPr>
              <w:t>１部</w:t>
            </w:r>
          </w:p>
        </w:tc>
      </w:tr>
    </w:tbl>
    <w:p>
      <w:pPr>
        <w:pStyle w:val="0"/>
        <w:kinsoku w:val="0"/>
        <w:wordWrap w:val="0"/>
        <w:spacing w:line="358" w:lineRule="exact"/>
        <w:ind w:left="220" w:leftChars="100" w:firstLine="230" w:firstLineChars="100"/>
        <w:rPr>
          <w:rFonts w:hint="default" w:ascii="ＭＳ 明朝" w:hAnsi="ＭＳ 明朝" w:eastAsia="ＭＳ 明朝"/>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９　その他</w:t>
      </w:r>
    </w:p>
    <w:p>
      <w:pPr>
        <w:pStyle w:val="0"/>
        <w:kinsoku w:val="0"/>
        <w:wordWrap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r>
        <w:rPr>
          <w:rFonts w:hint="eastAsia" w:ascii="ＭＳ 明朝" w:hAnsi="ＭＳ 明朝" w:eastAsia="ＭＳ 明朝"/>
          <w:b w:val="1"/>
          <w:sz w:val="21"/>
        </w:rPr>
        <w:t xml:space="preserve"> </w:t>
      </w:r>
    </w:p>
    <w:p>
      <w:pPr>
        <w:pStyle w:val="0"/>
        <w:kinsoku w:val="0"/>
        <w:wordWrap w:val="0"/>
        <w:spacing w:line="358" w:lineRule="exact"/>
        <w:jc w:val="center"/>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wordWrap w:val="0"/>
        <w:spacing w:line="358" w:lineRule="exact"/>
        <w:ind w:left="2" w:hanging="2" w:hangingChars="1"/>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（１）入札参加申請</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（２）注文書等の閲覧</w:t>
      </w:r>
    </w:p>
    <w:p>
      <w:pPr>
        <w:pStyle w:val="0"/>
        <w:kinsoku w:val="0"/>
        <w:wordWrap w:val="0"/>
        <w:spacing w:line="358" w:lineRule="exact"/>
        <w:ind w:left="220" w:leftChars="100" w:firstLine="230" w:firstLineChars="100"/>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wordWrap w:val="0"/>
        <w:spacing w:line="358" w:lineRule="exact"/>
        <w:ind w:left="1120" w:leftChars="300" w:hanging="460" w:hangingChars="200"/>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wordWrap w:val="0"/>
        <w:spacing w:line="358" w:lineRule="exact"/>
        <w:ind w:firstLine="690" w:firstLineChars="300"/>
        <w:rPr>
          <w:rFonts w:hint="default" w:ascii="ＭＳ 明朝" w:hAnsi="ＭＳ 明朝" w:eastAsia="ＭＳ 明朝"/>
          <w:sz w:val="21"/>
        </w:rPr>
      </w:pPr>
      <w:r>
        <w:rPr>
          <w:rFonts w:hint="eastAsia" w:ascii="ＭＳ 明朝" w:hAnsi="ＭＳ 明朝" w:eastAsia="ＭＳ 明朝"/>
          <w:sz w:val="21"/>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（３）入札方式並びに開札の日時及び場所等</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（４）入札参加資格の確認</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（１）入札書の提出</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wordWrap w:val="0"/>
        <w:spacing w:line="358" w:lineRule="exact"/>
        <w:ind w:left="670" w:leftChars="200" w:hanging="230" w:hangingChars="100"/>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671" w:leftChars="200" w:hanging="231" w:hangingChars="100"/>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1"/>
        </w:rPr>
      </w:pPr>
      <w:r>
        <w:rPr>
          <w:rFonts w:hint="default" w:ascii="ＭＳ 明朝" w:hAnsi="ＭＳ 明朝" w:eastAsia="ＭＳ 明朝"/>
          <w:sz w:val="21"/>
        </w:rPr>
        <w:br w:type="page"/>
      </w:r>
      <w:r>
        <w:rPr>
          <w:rFonts w:hint="eastAsia" w:ascii="ＭＳ 明朝" w:hAnsi="ＭＳ 明朝" w:eastAsia="ＭＳ 明朝"/>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（７）入札執行回数は，再度入札を含めて３回を限度とする。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（４）再度入札に参加する者は，次の書類を持参して立会うものとする。</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（１）入札参加資格確認手続</w:t>
      </w:r>
    </w:p>
    <w:p>
      <w:pPr>
        <w:pStyle w:val="0"/>
        <w:kinsoku w:val="0"/>
        <w:wordWrap w:val="0"/>
        <w:spacing w:line="358" w:lineRule="exact"/>
        <w:ind w:left="440" w:leftChars="200" w:firstLine="230" w:firstLineChars="100"/>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wordWrap w:val="0"/>
        <w:spacing w:line="358" w:lineRule="exact"/>
        <w:ind w:left="440" w:leftChars="200"/>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wordWrap w:val="0"/>
        <w:spacing w:line="358" w:lineRule="exact"/>
        <w:ind w:left="660" w:leftChars="300" w:firstLine="230" w:firstLineChars="100"/>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1"/>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spacing w:line="360" w:lineRule="auto"/>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spacing w:line="360" w:lineRule="auto"/>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spacing w:line="360" w:lineRule="auto"/>
        <w:rPr>
          <w:rFonts w:hint="default" w:asciiTheme="minorEastAsia" w:hAnsiTheme="minorEastAsia" w:eastAsiaTheme="minorEastAsia"/>
          <w:sz w:val="24"/>
        </w:rPr>
      </w:pPr>
    </w:p>
    <w:p>
      <w:pPr>
        <w:pStyle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1"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spacing w:line="360" w:lineRule="auto"/>
        <w:rPr>
          <w:rFonts w:hint="default" w:asciiTheme="minorEastAsia" w:hAnsiTheme="minorEastAsia" w:eastAsiaTheme="minorEastAsia"/>
          <w:sz w:val="24"/>
        </w:rPr>
      </w:pP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spacing w:line="360" w:lineRule="auto"/>
        <w:ind w:right="920"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spacing w:line="360" w:lineRule="auto"/>
        <w:ind w:right="928" w:firstLine="3390" w:firstLineChars="1294"/>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spacing w:line="360" w:lineRule="auto"/>
        <w:ind w:right="928" w:firstLine="3364" w:firstLineChars="1294"/>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spacing w:line="360" w:lineRule="auto"/>
        <w:ind w:left="2746"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0" behindDoc="0" locked="0" layoutInCell="1" hidden="0" allowOverlap="1">
                <wp:simplePos x="0" y="0"/>
                <wp:positionH relativeFrom="column">
                  <wp:posOffset>1518920</wp:posOffset>
                </wp:positionH>
                <wp:positionV relativeFrom="paragraph">
                  <wp:posOffset>59690</wp:posOffset>
                </wp:positionV>
                <wp:extent cx="180975" cy="89408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89408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7pt;mso-position-vertical-relative:text;mso-position-horizontal-relative:text;position:absolute;height:70.400000000000006pt;mso-wrap-distance-top:0pt;width:14.25pt;mso-wrap-distance-left:9pt;margin-left:119.6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spacing w:line="360" w:lineRule="auto"/>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360" w:lineRule="auto"/>
              <w:rPr>
                <w:rFonts w:hint="default" w:asciiTheme="minorEastAsia" w:hAnsiTheme="minorEastAsia" w:eastAsiaTheme="minorEastAsia"/>
                <w:sz w:val="24"/>
              </w:rPr>
            </w:pPr>
          </w:p>
        </w:tc>
      </w:tr>
    </w:tbl>
    <w:p>
      <w:pPr>
        <w:pStyle w:val="0"/>
        <w:widowControl w:val="1"/>
        <w:autoSpaceDE w:val="1"/>
        <w:autoSpaceDN w:val="1"/>
        <w:adjustRightInd w:val="1"/>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8" behindDoc="0" locked="0" layoutInCell="1" hidden="0" allowOverlap="1">
                <wp:simplePos x="0" y="0"/>
                <wp:positionH relativeFrom="column">
                  <wp:posOffset>4537710</wp:posOffset>
                </wp:positionH>
                <wp:positionV relativeFrom="paragraph">
                  <wp:posOffset>37465</wp:posOffset>
                </wp:positionV>
                <wp:extent cx="1746250" cy="1095375"/>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10953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2.95pt;mso-position-vertical-relative:text;mso-position-horizontal-relative:text;v-text-anchor:top;position:absolute;height:86.25pt;mso-wrap-distance-top:0pt;width:137.5pt;mso-wrap-distance-left:9pt;margin-left:357.3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ascii="ＭＳ 明朝" w:hAnsi="ＭＳ 明朝" w:eastAsia="ＭＳ 明朝"/>
          <w:sz w:val="21"/>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rPr>
        <mc:AlternateContent>
          <mc:Choice Requires="wps">
            <w:drawing>
              <wp:anchor distT="0" distB="0" distL="114300" distR="114300" simplePos="0" relativeHeight="7" behindDoc="0" locked="0" layoutInCell="1" hidden="0" allowOverlap="1">
                <wp:simplePos x="0" y="0"/>
                <wp:positionH relativeFrom="column">
                  <wp:posOffset>4261485</wp:posOffset>
                </wp:positionH>
                <wp:positionV relativeFrom="paragraph">
                  <wp:posOffset>102235</wp:posOffset>
                </wp:positionV>
                <wp:extent cx="1746250" cy="149542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49542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8.0500000000000007pt;mso-position-vertical-relative:text;mso-position-horizontal-relative:text;v-text-anchor:top;position:absolute;height:117.75pt;mso-wrap-distance-top:0pt;width:137.5pt;mso-wrap-distance-left:9pt;margin-left:335.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　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ascii="ＭＳ 明朝" w:hAnsi="ＭＳ 明朝" w:eastAsia="ＭＳ 明朝"/>
          <w:sz w:val="21"/>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8.4pt" to="297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887" w:rightChars="403"/>
        <w:rPr>
          <w:rFonts w:hint="default" w:ascii="ＭＳ 明朝" w:hAnsi="ＭＳ 明朝" w:eastAsia="ＭＳ 明朝"/>
          <w:sz w:val="21"/>
        </w:rPr>
      </w:pPr>
    </w:p>
    <w:p>
      <w:pPr>
        <w:pStyle w:val="0"/>
        <w:wordWrap w:val="0"/>
        <w:spacing w:before="137"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7"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7"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19"/>
        <w:tabs>
          <w:tab w:val="clear" w:pos="4252"/>
          <w:tab w:val="clear" w:pos="8504"/>
        </w:tabs>
        <w:snapToGrid w:val="1"/>
        <w:ind w:firstLine="288" w:firstLineChars="131"/>
        <w:rPr>
          <w:rFonts w:hint="default"/>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eastAsia"/>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sz w:val="22"/>
              </w:rPr>
              <w:t>回答事項</w:t>
            </w:r>
          </w:p>
        </w:tc>
      </w:tr>
      <w:tr>
        <w:trPr>
          <w:trHeight w:val="688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eastAsia"/>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8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7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5" w:type="default"/>
      <w:footnotePr>
        <w:numRestart w:val="eachSect"/>
      </w:footnotePr>
      <w:type w:val="continuous"/>
      <w:pgSz w:w="11906" w:h="16838"/>
      <w:pgMar w:top="851" w:right="680" w:bottom="851" w:left="907" w:header="720" w:footer="561" w:gutter="0"/>
      <w:cols w:space="720"/>
      <w:textDirection w:val="lrTb"/>
      <w:docGrid w:type="linesAndChars" w:linePitch="275" w:charSpace="-5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896869609"/>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223"/>
  <w:drawingGridVerticalSpacing w:val="137"/>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3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character" w:styleId="30" w:customStyle="1">
    <w:name w:val="フッター (文字)"/>
    <w:basedOn w:val="10"/>
    <w:next w:val="30"/>
    <w:link w:val="20"/>
    <w:uiPriority w:val="0"/>
    <w:rPr>
      <w:rFonts w:ascii="Mincho" w:hAnsi="Mincho" w:eastAsia="Mincho"/>
      <w:spacing w:val="25"/>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12</Pages>
  <Words>79</Words>
  <Characters>5731</Characters>
  <Application>JUST Note</Application>
  <Lines>9007</Lines>
  <Paragraphs>342</Paragraphs>
  <Company>古川市</Company>
  <CharactersWithSpaces>6243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2024-10-23T08:08:05Z</cp:lastPrinted>
  <dcterms:created xsi:type="dcterms:W3CDTF">2022-08-25T04:53:00Z</dcterms:created>
  <dcterms:modified xsi:type="dcterms:W3CDTF">2026-04-10T04:30:46Z</dcterms:modified>
  <cp:revision>10</cp:revision>
</cp:coreProperties>
</file>