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none"/>
        </w:rPr>
      </w:pPr>
      <w:r>
        <w:rPr>
          <w:rFonts w:hint="eastAsia" w:ascii="ＭＳ 明朝" w:hAnsi="ＭＳ 明朝" w:eastAsia="ＭＳ 明朝"/>
          <w:sz w:val="22"/>
        </w:rPr>
        <w:t>大崎市公告第２５８号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7</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2</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2026000759</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（２）件　　名　公用車新規賃貸借（鳴子総合支所地域振興課）</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大崎市鳴子温泉字鷲ノ巣</w:t>
      </w:r>
      <w:r>
        <w:rPr>
          <w:rFonts w:hint="eastAsia" w:ascii="ＭＳ 明朝" w:hAnsi="ＭＳ 明朝" w:eastAsia="ＭＳ 明朝"/>
          <w:sz w:val="22"/>
        </w:rPr>
        <w:t>86</w:t>
      </w:r>
      <w:r>
        <w:rPr>
          <w:rFonts w:hint="eastAsia" w:ascii="ＭＳ 明朝" w:hAnsi="ＭＳ 明朝" w:eastAsia="ＭＳ 明朝"/>
          <w:sz w:val="22"/>
        </w:rPr>
        <w:t>番地</w:t>
      </w:r>
      <w:r>
        <w:rPr>
          <w:rFonts w:hint="eastAsia" w:ascii="ＭＳ 明朝" w:hAnsi="ＭＳ 明朝" w:eastAsia="ＭＳ 明朝"/>
          <w:sz w:val="22"/>
        </w:rPr>
        <w:t>1</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登録日から８４か月</w:t>
      </w:r>
    </w:p>
    <w:p>
      <w:pPr>
        <w:pStyle w:val="0"/>
        <w:kinsoku w:val="0"/>
        <w:spacing w:line="358" w:lineRule="exact"/>
        <w:rPr>
          <w:rFonts w:hint="default" w:ascii="ＭＳ 明朝" w:hAnsi="ＭＳ 明朝" w:eastAsia="ＭＳ 明朝"/>
          <w:sz w:val="22"/>
        </w:rPr>
      </w:pP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（５）業務概要　</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１．車種　小型貨物車</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２．仕様　</w:t>
      </w:r>
      <w:r>
        <w:rPr>
          <w:rFonts w:hint="eastAsia" w:ascii="ＭＳ 明朝" w:hAnsi="ＭＳ 明朝" w:eastAsia="ＭＳ 明朝"/>
          <w:sz w:val="22"/>
        </w:rPr>
        <w:t>2,800</w:t>
      </w:r>
      <w:r>
        <w:rPr>
          <w:rFonts w:hint="eastAsia" w:ascii="ＭＳ 明朝" w:hAnsi="ＭＳ 明朝" w:eastAsia="ＭＳ 明朝"/>
          <w:sz w:val="22"/>
        </w:rPr>
        <w:t>ｃｃディーゼル車，</w:t>
      </w:r>
      <w:r>
        <w:rPr>
          <w:rFonts w:hint="eastAsia" w:ascii="ＭＳ 明朝" w:hAnsi="ＭＳ 明朝" w:eastAsia="ＭＳ 明朝"/>
          <w:sz w:val="22"/>
        </w:rPr>
        <w:t>4</w:t>
      </w:r>
      <w:r>
        <w:rPr>
          <w:rFonts w:hint="eastAsia" w:ascii="ＭＳ 明朝" w:hAnsi="ＭＳ 明朝" w:eastAsia="ＭＳ 明朝"/>
          <w:sz w:val="22"/>
        </w:rPr>
        <w:t>ＷＤ，</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　　オートマチック（ＣＶＴ可），３／６人乗</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　　</w:t>
      </w:r>
      <w:bookmarkStart w:id="0" w:name="_GoBack"/>
      <w:bookmarkEnd w:id="0"/>
      <w:r>
        <w:rPr>
          <w:rFonts w:hint="eastAsia" w:ascii="ＭＳ 明朝" w:hAnsi="ＭＳ 明朝" w:eastAsia="ＭＳ 明朝"/>
          <w:sz w:val="22"/>
        </w:rPr>
        <w:t>ボディーカラー：白色系</w:t>
      </w:r>
    </w:p>
    <w:p>
      <w:pPr>
        <w:pStyle w:val="29"/>
        <w:kinsoku w:val="0"/>
        <w:spacing w:line="358" w:lineRule="exact"/>
        <w:ind w:left="0" w:leftChars="0" w:right="-101" w:rightChars="-46" w:firstLineChars="0"/>
        <w:jc w:val="both"/>
        <w:rPr>
          <w:rFonts w:hint="default" w:ascii="ＭＳ 明朝" w:hAnsi="ＭＳ 明朝" w:eastAsia="ＭＳ 明朝"/>
          <w:sz w:val="22"/>
        </w:rPr>
      </w:pPr>
      <w:r>
        <w:rPr>
          <w:rFonts w:hint="eastAsia" w:ascii="ＭＳ 明朝" w:hAnsi="ＭＳ 明朝" w:eastAsia="ＭＳ 明朝"/>
          <w:sz w:val="22"/>
        </w:rPr>
        <w:t>３．月平均予定走行距離　約６００ｋｍ</w:t>
      </w:r>
    </w:p>
    <w:p>
      <w:pPr>
        <w:pStyle w:val="29"/>
        <w:kinsoku w:val="0"/>
        <w:spacing w:line="358" w:lineRule="exact"/>
        <w:ind w:left="0" w:leftChars="0" w:right="-101" w:rightChars="-46" w:firstLineChars="0"/>
        <w:jc w:val="both"/>
        <w:rPr>
          <w:rFonts w:hint="default" w:ascii="ＭＳ 明朝" w:hAnsi="ＭＳ 明朝" w:eastAsia="ＭＳ 明朝"/>
          <w:sz w:val="22"/>
        </w:rPr>
      </w:pPr>
    </w:p>
    <w:p>
      <w:pPr>
        <w:pStyle w:val="29"/>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0"/>
        <w:kinsoku w:val="0"/>
        <w:wordWrap w:val="0"/>
        <w:spacing w:line="358" w:lineRule="exact"/>
        <w:ind w:left="2125" w:right="-101" w:rightChars="-46" w:hanging="2125" w:hangingChars="924"/>
        <w:rPr>
          <w:rFonts w:hint="default"/>
          <w:sz w:val="22"/>
        </w:rPr>
      </w:pPr>
    </w:p>
    <w:p>
      <w:pPr>
        <w:pStyle w:val="16"/>
        <w:ind w:left="0" w:leftChars="0" w:firstLine="0" w:firstLineChars="0"/>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529"/>
      </w:tblGrid>
      <w:tr>
        <w:trPr>
          <w:trHeight w:val="356"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5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業種：リース，部門：自動車</w:t>
            </w:r>
          </w:p>
        </w:tc>
      </w:tr>
      <w:tr>
        <w:trPr>
          <w:trHeight w:val="425"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529" w:type="dxa"/>
            <w:shd w:val="clear" w:color="auto" w:fill="auto"/>
            <w:vAlign w:val="top"/>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県内に本社（店）又は受任機関の登録を有すること。</w:t>
            </w:r>
          </w:p>
        </w:tc>
      </w:tr>
      <w:tr>
        <w:trPr>
          <w:trHeight w:val="683"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その他</w:t>
            </w:r>
          </w:p>
        </w:tc>
        <w:tc>
          <w:tcPr>
            <w:tcW w:w="6529"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大崎市鳴子総合支所</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地域振興課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0229-82-2111</w:t>
            </w:r>
          </w:p>
        </w:tc>
        <w:tc>
          <w:tcPr>
            <w:tcW w:w="396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989-6892</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大崎市鳴子温泉字鷲ノ巣</w:t>
            </w:r>
            <w:r>
              <w:rPr>
                <w:rFonts w:hint="eastAsia" w:asciiTheme="minorEastAsia" w:hAnsiTheme="minorEastAsia" w:eastAsiaTheme="minorEastAsia"/>
                <w:sz w:val="22"/>
              </w:rPr>
              <w:t>86</w:t>
            </w:r>
            <w:r>
              <w:rPr>
                <w:rFonts w:hint="eastAsia" w:asciiTheme="minorEastAsia" w:hAnsiTheme="minorEastAsia" w:eastAsiaTheme="minorEastAsia"/>
                <w:sz w:val="22"/>
              </w:rPr>
              <w:t>番地</w:t>
            </w:r>
            <w:r>
              <w:rPr>
                <w:rFonts w:hint="eastAsia" w:asciiTheme="minorEastAsia" w:hAnsiTheme="minorEastAsia" w:eastAsiaTheme="minorEastAsia"/>
                <w:sz w:val="22"/>
              </w:rPr>
              <w:t>1</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9</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13</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17</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7</w:t>
            </w:r>
            <w:r>
              <w:rPr>
                <w:rFonts w:hint="eastAsia"/>
                <w:color w:val="000000" w:themeColor="text1"/>
                <w:sz w:val="22"/>
              </w:rPr>
              <w:t>月</w:t>
            </w:r>
            <w:r>
              <w:rPr>
                <w:rFonts w:hint="eastAsia"/>
                <w:color w:val="000000" w:themeColor="text1"/>
                <w:sz w:val="22"/>
              </w:rPr>
              <w:t>22</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午後２時１０分から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　　　　８号）に規定する休日（以下「休日等」という。）を除く。</w:t>
      </w:r>
    </w:p>
    <w:p>
      <w:pPr>
        <w:pStyle w:val="0"/>
        <w:kinsoku w:val="0"/>
        <w:wordWrap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Theme="minorEastAsia" w:hAnsiTheme="minorEastAsia" w:eastAsiaTheme="minorEastAsia"/>
          <w:sz w:val="22"/>
        </w:rPr>
        <w:t>（１）</w:t>
      </w:r>
      <w:r>
        <w:rPr>
          <w:rFonts w:hint="eastAsia" w:ascii="ＭＳ 明朝" w:hAnsi="ＭＳ 明朝" w:eastAsia="ＭＳ 明朝"/>
          <w:sz w:val="22"/>
        </w:rPr>
        <w:t>大崎市競争入札参加業者登録書の写し　　　　　　　　　　　　　　　１部</w:t>
      </w:r>
    </w:p>
    <w:p>
      <w:pPr>
        <w:pStyle w:val="0"/>
        <w:kinsoku w:val="0"/>
        <w:wordWrap w:val="0"/>
        <w:spacing w:line="358" w:lineRule="exact"/>
        <w:rPr>
          <w:rFonts w:hint="default"/>
          <w:sz w:val="22"/>
        </w:rPr>
      </w:pPr>
      <w:r>
        <w:rPr>
          <w:rFonts w:hint="eastAsia" w:asciiTheme="minorEastAsia" w:hAnsiTheme="minorEastAsia" w:eastAsiaTheme="minorEastAsia"/>
          <w:sz w:val="22"/>
        </w:rPr>
        <w:t>（２）</w:t>
      </w:r>
      <w:r>
        <w:rPr>
          <w:rFonts w:hint="eastAsia" w:ascii="ＭＳ 明朝" w:hAnsi="ＭＳ 明朝" w:eastAsia="ＭＳ 明朝"/>
          <w:sz w:val="22"/>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p>
    <w:p>
      <w:pPr>
        <w:pStyle w:val="0"/>
        <w:wordWrap w:val="0"/>
        <w:rPr>
          <w:rFonts w:hint="default" w:ascii="ＭＳ 明朝" w:hAnsi="ＭＳ 明朝" w:eastAsia="ＭＳ 明朝"/>
          <w:sz w:val="21"/>
        </w:rPr>
      </w:pPr>
    </w:p>
    <w:p>
      <w:pPr>
        <w:rPr>
          <w:rFonts w:hint="default" w:ascii="ＭＳ 明朝" w:hAnsi="ＭＳ 明朝" w:eastAsia="ＭＳ 明朝"/>
          <w:sz w:val="21"/>
        </w:rPr>
        <w:sectPr>
          <w:footerReference r:id="rId5" w:type="even"/>
          <w:footerReference r:id="rId6" w:type="default"/>
          <w:footnotePr>
            <w:numRestart w:val="eachSect"/>
          </w:footnotePr>
          <w:type w:val="continuous"/>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rPr>
          <w:rFonts w:hint="default"/>
        </w:rPr>
      </w:pPr>
    </w:p>
    <w:sectPr>
      <w:footnotePr>
        <w:numRestart w:val="eachSect"/>
      </w:footnotePr>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5</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10"/>
  <w:displayHorizontalDrawingGridEvery w:val="0"/>
  <w:displayVerticalDrawingGridEvery w:val="2"/>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ヘッダー (文字)"/>
    <w:next w:val="32"/>
    <w:link w:val="19"/>
    <w:uiPriority w:val="0"/>
    <w:rPr>
      <w:rFonts w:ascii="Mincho" w:hAnsi="Mincho" w:eastAsia="Mincho"/>
      <w:spacing w:val="25"/>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10</Pages>
  <Words>58</Words>
  <Characters>5327</Characters>
  <Application>JUST Note</Application>
  <Lines>425</Lines>
  <Paragraphs>262</Paragraphs>
  <CharactersWithSpaces>5759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和也</dc:creator>
  <cp:lastModifiedBy>髙橋　和也</cp:lastModifiedBy>
  <cp:lastPrinted>2026-06-26T06:11:24Z</cp:lastPrinted>
  <dcterms:created xsi:type="dcterms:W3CDTF">2026-06-26T06:08:00Z</dcterms:created>
  <dcterms:modified xsi:type="dcterms:W3CDTF">2026-06-26T06:11:30Z</dcterms:modified>
  <cp:revision>2</cp:revision>
</cp:coreProperties>
</file>