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２７２</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15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2026000805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放任果樹伐採業務（古川地域）その３</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〇放任果樹の伐採</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柿</w:t>
      </w:r>
      <w:r>
        <w:rPr>
          <w:rFonts w:hint="eastAsia" w:ascii="ＭＳ 明朝" w:hAnsi="ＭＳ 明朝" w:eastAsia="ＭＳ 明朝"/>
          <w:sz w:val="21"/>
        </w:rPr>
        <w:t xml:space="preserve"> </w:t>
      </w:r>
      <w:r>
        <w:rPr>
          <w:rFonts w:hint="eastAsia" w:ascii="ＭＳ 明朝" w:hAnsi="ＭＳ 明朝" w:eastAsia="ＭＳ 明朝"/>
          <w:sz w:val="21"/>
        </w:rPr>
        <w:t>　　　１４４本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栗</w:t>
      </w:r>
      <w:r>
        <w:rPr>
          <w:rFonts w:hint="eastAsia" w:ascii="ＭＳ 明朝" w:hAnsi="ＭＳ 明朝" w:eastAsia="ＭＳ 明朝"/>
          <w:sz w:val="21"/>
        </w:rPr>
        <w:t xml:space="preserve"> </w:t>
      </w:r>
      <w:r>
        <w:rPr>
          <w:rFonts w:hint="eastAsia" w:ascii="ＭＳ 明朝" w:hAnsi="ＭＳ 明朝" w:eastAsia="ＭＳ 明朝"/>
          <w:sz w:val="21"/>
        </w:rPr>
        <w:t>　　　　２６本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梅</w:t>
      </w:r>
      <w:r>
        <w:rPr>
          <w:rFonts w:hint="eastAsia" w:ascii="ＭＳ 明朝" w:hAnsi="ＭＳ 明朝" w:eastAsia="ＭＳ 明朝"/>
          <w:sz w:val="21"/>
        </w:rPr>
        <w:t xml:space="preserve"> </w:t>
      </w:r>
      <w:r>
        <w:rPr>
          <w:rFonts w:hint="eastAsia" w:ascii="ＭＳ 明朝" w:hAnsi="ＭＳ 明朝" w:eastAsia="ＭＳ 明朝"/>
          <w:sz w:val="21"/>
        </w:rPr>
        <w:t>　　　　　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くるみ</w:t>
      </w:r>
      <w:r>
        <w:rPr>
          <w:rFonts w:hint="eastAsia" w:ascii="ＭＳ 明朝" w:hAnsi="ＭＳ 明朝" w:eastAsia="ＭＳ 明朝"/>
          <w:sz w:val="21"/>
        </w:rPr>
        <w:t xml:space="preserve"> </w:t>
      </w:r>
      <w:r>
        <w:rPr>
          <w:rFonts w:hint="eastAsia" w:ascii="ＭＳ 明朝" w:hAnsi="ＭＳ 明朝" w:eastAsia="ＭＳ 明朝"/>
          <w:sz w:val="21"/>
        </w:rPr>
        <w:t>　　　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イチジク</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キウイ</w:t>
      </w:r>
      <w:r>
        <w:rPr>
          <w:rFonts w:hint="eastAsia" w:ascii="ＭＳ 明朝" w:hAnsi="ＭＳ 明朝" w:eastAsia="ＭＳ 明朝"/>
          <w:sz w:val="21"/>
        </w:rPr>
        <w:t xml:space="preserve"> </w:t>
      </w:r>
      <w:r>
        <w:rPr>
          <w:rFonts w:hint="eastAsia" w:ascii="ＭＳ 明朝" w:hAnsi="ＭＳ 明朝" w:eastAsia="ＭＳ 明朝"/>
          <w:sz w:val="21"/>
        </w:rPr>
        <w:t>　　　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びわ</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ナツメ</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どんぐり</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p>
    <w:p>
      <w:pPr>
        <w:pStyle w:val="0"/>
        <w:numPr>
          <w:numId w:val="0"/>
        </w:numPr>
        <w:kinsoku w:val="0"/>
        <w:spacing w:line="358" w:lineRule="exact"/>
        <w:ind w:left="72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計</w:t>
      </w:r>
      <w:r>
        <w:rPr>
          <w:rFonts w:hint="eastAsia" w:ascii="ＭＳ 明朝" w:hAnsi="ＭＳ 明朝" w:eastAsia="ＭＳ 明朝"/>
          <w:sz w:val="21"/>
        </w:rPr>
        <w:t xml:space="preserve"> </w:t>
      </w:r>
      <w:r>
        <w:rPr>
          <w:rFonts w:hint="eastAsia" w:ascii="ＭＳ 明朝" w:hAnsi="ＭＳ 明朝" w:eastAsia="ＭＳ 明朝"/>
          <w:sz w:val="21"/>
        </w:rPr>
        <w:t>１８６本</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bookmarkStart w:id="0" w:name="_GoBack"/>
      <w:bookmarkEnd w:id="0"/>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農村環境整備課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31</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8</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1905</TotalTime>
  <Pages>10</Pages>
  <Words>59</Words>
  <Characters>5067</Characters>
  <Application>JUST Note</Application>
  <Lines>392</Lines>
  <Paragraphs>246</Paragraphs>
  <CharactersWithSpaces>5459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2026-07-09T04:47:19Z</cp:lastPrinted>
  <dcterms:created xsi:type="dcterms:W3CDTF">2023-04-11T23:40:00Z</dcterms:created>
  <dcterms:modified xsi:type="dcterms:W3CDTF">2026-07-08T08:52:29Z</dcterms:modified>
  <cp:revision>17</cp:revision>
</cp:coreProperties>
</file>