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1100"/>
          <w:tab w:val="left" w:leader="none" w:pos="4678"/>
        </w:tabs>
        <w:kinsoku w:val="0"/>
        <w:wordWrap w:val="0"/>
        <w:rPr>
          <w:rFonts w:hint="default" w:ascii="ＭＳ 明朝" w:hAnsi="ＭＳ 明朝" w:eastAsia="ＭＳ 明朝"/>
          <w:color w:val="FF0000"/>
          <w:sz w:val="22"/>
          <w:highlight w:val="none"/>
        </w:rPr>
      </w:pPr>
      <w:r>
        <w:rPr>
          <w:rFonts w:hint="eastAsia" w:ascii="ＭＳ 明朝" w:hAnsi="ＭＳ 明朝" w:eastAsia="ＭＳ 明朝"/>
          <w:sz w:val="22"/>
        </w:rPr>
        <w:t>大崎市公告第３１６号</w:t>
      </w:r>
    </w:p>
    <w:p>
      <w:pPr>
        <w:pStyle w:val="0"/>
        <w:kinsoku w:val="0"/>
        <w:spacing w:line="358" w:lineRule="exact"/>
        <w:jc w:val="center"/>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入　札　公　告</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令和</w:t>
      </w:r>
      <w:r>
        <w:rPr>
          <w:rFonts w:hint="eastAsia" w:ascii="ＭＳ 明朝" w:hAnsi="ＭＳ 明朝" w:eastAsia="ＭＳ 明朝"/>
          <w:sz w:val="22"/>
          <w:highlight w:val="none"/>
        </w:rPr>
        <w:t>8</w:t>
      </w:r>
      <w:r>
        <w:rPr>
          <w:rFonts w:hint="eastAsia" w:ascii="ＭＳ 明朝" w:hAnsi="ＭＳ 明朝" w:eastAsia="ＭＳ 明朝"/>
          <w:sz w:val="22"/>
          <w:highlight w:val="none"/>
        </w:rPr>
        <w:t>年</w:t>
      </w:r>
      <w:r>
        <w:rPr>
          <w:rFonts w:hint="eastAsia" w:ascii="ＭＳ 明朝" w:hAnsi="ＭＳ 明朝" w:eastAsia="ＭＳ 明朝"/>
          <w:sz w:val="22"/>
          <w:highlight w:val="none"/>
        </w:rPr>
        <w:t xml:space="preserve"> 9</w:t>
      </w:r>
      <w:r>
        <w:rPr>
          <w:rFonts w:hint="eastAsia" w:ascii="ＭＳ 明朝" w:hAnsi="ＭＳ 明朝" w:eastAsia="ＭＳ 明朝"/>
          <w:sz w:val="22"/>
          <w:highlight w:val="none"/>
        </w:rPr>
        <w:t>月</w:t>
      </w:r>
      <w:r>
        <w:rPr>
          <w:rFonts w:hint="eastAsia" w:ascii="ＭＳ 明朝" w:hAnsi="ＭＳ 明朝" w:eastAsia="ＭＳ 明朝"/>
          <w:sz w:val="22"/>
          <w:highlight w:val="none"/>
        </w:rPr>
        <w:t xml:space="preserve"> 1</w:t>
      </w:r>
      <w:r>
        <w:rPr>
          <w:rFonts w:hint="eastAsia" w:ascii="ＭＳ 明朝" w:hAnsi="ＭＳ 明朝" w:eastAsia="ＭＳ 明朝"/>
          <w:sz w:val="22"/>
          <w:highlight w:val="none"/>
        </w:rPr>
        <w:t>日</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ind w:left="6050" w:leftChars="275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（１）契約番号　</w:t>
      </w:r>
      <w:r>
        <w:rPr>
          <w:rFonts w:hint="eastAsia" w:ascii="ＭＳ 明朝" w:hAnsi="ＭＳ 明朝" w:eastAsia="ＭＳ 明朝"/>
          <w:sz w:val="22"/>
        </w:rPr>
        <w:t>2026001017</w:t>
      </w:r>
    </w:p>
    <w:p>
      <w:pPr>
        <w:pStyle w:val="0"/>
        <w:kinsoku w:val="0"/>
        <w:spacing w:line="358" w:lineRule="exact"/>
        <w:ind w:leftChars="0" w:firstLineChars="0"/>
        <w:rPr>
          <w:rFonts w:hint="default" w:ascii="ＭＳ 明朝" w:hAnsi="ＭＳ 明朝" w:eastAsia="ＭＳ 明朝"/>
          <w:sz w:val="22"/>
        </w:rPr>
      </w:pPr>
      <w:r>
        <w:rPr>
          <w:rFonts w:hint="eastAsia" w:ascii="ＭＳ 明朝" w:hAnsi="ＭＳ 明朝" w:eastAsia="ＭＳ 明朝"/>
          <w:sz w:val="22"/>
        </w:rPr>
        <w:t>（２）件　　名　令和８年度大崎市騒音・振動等調査，自動車騒音常時監視業務</w:t>
      </w:r>
    </w:p>
    <w:p>
      <w:pPr>
        <w:pStyle w:val="0"/>
        <w:kinsoku w:val="0"/>
        <w:spacing w:line="358" w:lineRule="exact"/>
        <w:rPr>
          <w:rFonts w:hint="default" w:ascii="ＭＳ 明朝" w:hAnsi="ＭＳ 明朝" w:eastAsia="ＭＳ 明朝"/>
          <w:sz w:val="22"/>
        </w:rPr>
      </w:pPr>
      <w:r>
        <w:rPr>
          <w:rFonts w:hint="eastAsia" w:ascii="ＭＳ 明朝" w:hAnsi="ＭＳ 明朝" w:eastAsia="ＭＳ 明朝"/>
          <w:sz w:val="22"/>
        </w:rPr>
        <w:t>（３）場　　所　大崎市内</w:t>
      </w:r>
    </w:p>
    <w:p>
      <w:pPr>
        <w:pStyle w:val="0"/>
        <w:kinsoku w:val="0"/>
        <w:spacing w:line="358" w:lineRule="exact"/>
        <w:rPr>
          <w:rFonts w:hint="default" w:ascii="ＭＳ 明朝" w:hAnsi="ＭＳ 明朝" w:eastAsia="ＭＳ 明朝"/>
          <w:sz w:val="22"/>
        </w:rPr>
      </w:pPr>
      <w:r>
        <w:rPr>
          <w:rFonts w:hint="eastAsia" w:ascii="ＭＳ 明朝" w:hAnsi="ＭＳ 明朝" w:eastAsia="ＭＳ 明朝"/>
          <w:sz w:val="22"/>
        </w:rPr>
        <w:t>（４）期　　間　契約締結日の翌日から令和</w:t>
      </w:r>
      <w:r>
        <w:rPr>
          <w:rFonts w:hint="eastAsia" w:ascii="ＭＳ 明朝" w:hAnsi="ＭＳ 明朝" w:eastAsia="ＭＳ 明朝"/>
          <w:sz w:val="22"/>
        </w:rPr>
        <w:t>9</w:t>
      </w:r>
      <w:r>
        <w:rPr>
          <w:rFonts w:hint="eastAsia" w:ascii="ＭＳ 明朝" w:hAnsi="ＭＳ 明朝" w:eastAsia="ＭＳ 明朝"/>
          <w:sz w:val="22"/>
        </w:rPr>
        <w:t>年</w:t>
      </w:r>
      <w:r>
        <w:rPr>
          <w:rFonts w:hint="eastAsia" w:ascii="ＭＳ 明朝" w:hAnsi="ＭＳ 明朝" w:eastAsia="ＭＳ 明朝"/>
          <w:sz w:val="22"/>
        </w:rPr>
        <w:t>2</w:t>
      </w:r>
      <w:r>
        <w:rPr>
          <w:rFonts w:hint="eastAsia" w:ascii="ＭＳ 明朝" w:hAnsi="ＭＳ 明朝" w:eastAsia="ＭＳ 明朝"/>
          <w:sz w:val="22"/>
        </w:rPr>
        <w:t>月</w:t>
      </w:r>
      <w:r>
        <w:rPr>
          <w:rFonts w:hint="eastAsia" w:ascii="ＭＳ 明朝" w:hAnsi="ＭＳ 明朝" w:eastAsia="ＭＳ 明朝"/>
          <w:sz w:val="22"/>
        </w:rPr>
        <w:t>26</w:t>
      </w:r>
      <w:r>
        <w:rPr>
          <w:rFonts w:hint="eastAsia" w:ascii="ＭＳ 明朝" w:hAnsi="ＭＳ 明朝" w:eastAsia="ＭＳ 明朝"/>
          <w:sz w:val="22"/>
        </w:rPr>
        <w:t>日</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（５）業務概要　</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①騒音・振動調査</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・国道</w:t>
      </w:r>
      <w:r>
        <w:rPr>
          <w:rFonts w:hint="eastAsia" w:ascii="ＭＳ 明朝" w:hAnsi="ＭＳ 明朝" w:eastAsia="ＭＳ 明朝"/>
          <w:sz w:val="22"/>
        </w:rPr>
        <w:t>4</w:t>
      </w:r>
      <w:r>
        <w:rPr>
          <w:rFonts w:hint="eastAsia" w:ascii="ＭＳ 明朝" w:hAnsi="ＭＳ 明朝" w:eastAsia="ＭＳ 明朝"/>
          <w:sz w:val="22"/>
        </w:rPr>
        <w:t>号，</w:t>
      </w:r>
      <w:r>
        <w:rPr>
          <w:rFonts w:hint="eastAsia" w:ascii="ＭＳ 明朝" w:hAnsi="ＭＳ 明朝" w:eastAsia="ＭＳ 明朝"/>
          <w:sz w:val="22"/>
        </w:rPr>
        <w:t>47</w:t>
      </w:r>
      <w:r>
        <w:rPr>
          <w:rFonts w:hint="eastAsia" w:ascii="ＭＳ 明朝" w:hAnsi="ＭＳ 明朝" w:eastAsia="ＭＳ 明朝"/>
          <w:sz w:val="22"/>
        </w:rPr>
        <w:t>号，</w:t>
      </w:r>
      <w:r>
        <w:rPr>
          <w:rFonts w:hint="eastAsia" w:ascii="ＭＳ 明朝" w:hAnsi="ＭＳ 明朝" w:eastAsia="ＭＳ 明朝"/>
          <w:sz w:val="22"/>
        </w:rPr>
        <w:t>108</w:t>
      </w:r>
      <w:r>
        <w:rPr>
          <w:rFonts w:hint="eastAsia" w:ascii="ＭＳ 明朝" w:hAnsi="ＭＳ 明朝" w:eastAsia="ＭＳ 明朝"/>
          <w:sz w:val="22"/>
        </w:rPr>
        <w:t>号，</w:t>
      </w:r>
      <w:r>
        <w:rPr>
          <w:rFonts w:hint="eastAsia" w:ascii="ＭＳ 明朝" w:hAnsi="ＭＳ 明朝" w:eastAsia="ＭＳ 明朝"/>
          <w:sz w:val="22"/>
        </w:rPr>
        <w:t>347</w:t>
      </w:r>
      <w:r>
        <w:rPr>
          <w:rFonts w:hint="eastAsia" w:ascii="ＭＳ 明朝" w:hAnsi="ＭＳ 明朝" w:eastAsia="ＭＳ 明朝"/>
          <w:sz w:val="22"/>
        </w:rPr>
        <w:t>号，主要地方道古川佐沼線，古川松山線，古川一迫線，岩出山宮崎線のうち</w:t>
      </w:r>
      <w:r>
        <w:rPr>
          <w:rFonts w:hint="eastAsia" w:ascii="ＭＳ 明朝" w:hAnsi="ＭＳ 明朝" w:eastAsia="ＭＳ 明朝"/>
          <w:sz w:val="22"/>
        </w:rPr>
        <w:t>12</w:t>
      </w:r>
      <w:r>
        <w:rPr>
          <w:rFonts w:hint="eastAsia" w:ascii="ＭＳ 明朝" w:hAnsi="ＭＳ 明朝" w:eastAsia="ＭＳ 明朝"/>
          <w:sz w:val="22"/>
        </w:rPr>
        <w:t>地点における道路交通騒音調査及び交通量調査</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・道路交通騒音測定調査</w:t>
      </w:r>
      <w:r>
        <w:rPr>
          <w:rFonts w:hint="eastAsia" w:ascii="ＭＳ 明朝" w:hAnsi="ＭＳ 明朝" w:eastAsia="ＭＳ 明朝"/>
          <w:sz w:val="22"/>
        </w:rPr>
        <w:t xml:space="preserve">, </w:t>
      </w:r>
      <w:r>
        <w:rPr>
          <w:rFonts w:hint="eastAsia" w:ascii="ＭＳ 明朝" w:hAnsi="ＭＳ 明朝" w:eastAsia="ＭＳ 明朝"/>
          <w:sz w:val="22"/>
        </w:rPr>
        <w:t>交通量調査を実施する地点のうち，国道</w:t>
      </w:r>
      <w:r>
        <w:rPr>
          <w:rFonts w:hint="eastAsia" w:ascii="ＭＳ 明朝" w:hAnsi="ＭＳ 明朝" w:eastAsia="ＭＳ 明朝"/>
          <w:sz w:val="22"/>
        </w:rPr>
        <w:t>108</w:t>
      </w:r>
      <w:r>
        <w:rPr>
          <w:rFonts w:hint="eastAsia" w:ascii="ＭＳ 明朝" w:hAnsi="ＭＳ 明朝" w:eastAsia="ＭＳ 明朝"/>
          <w:sz w:val="22"/>
        </w:rPr>
        <w:t>号線</w:t>
      </w:r>
      <w:r>
        <w:rPr>
          <w:rFonts w:hint="eastAsia" w:ascii="ＭＳ 明朝" w:hAnsi="ＭＳ 明朝" w:eastAsia="ＭＳ 明朝"/>
          <w:sz w:val="22"/>
        </w:rPr>
        <w:t>1</w:t>
      </w:r>
      <w:r>
        <w:rPr>
          <w:rFonts w:hint="eastAsia" w:ascii="ＭＳ 明朝" w:hAnsi="ＭＳ 明朝" w:eastAsia="ＭＳ 明朝"/>
          <w:sz w:val="22"/>
        </w:rPr>
        <w:t>地点，主要地方道古川佐沼線</w:t>
      </w:r>
      <w:r>
        <w:rPr>
          <w:rFonts w:hint="eastAsia" w:ascii="ＭＳ 明朝" w:hAnsi="ＭＳ 明朝" w:eastAsia="ＭＳ 明朝"/>
          <w:sz w:val="22"/>
        </w:rPr>
        <w:t>1</w:t>
      </w:r>
      <w:r>
        <w:rPr>
          <w:rFonts w:hint="eastAsia" w:ascii="ＭＳ 明朝" w:hAnsi="ＭＳ 明朝" w:eastAsia="ＭＳ 明朝"/>
          <w:sz w:val="22"/>
        </w:rPr>
        <w:t>地点，計</w:t>
      </w:r>
      <w:r>
        <w:rPr>
          <w:rFonts w:hint="eastAsia" w:ascii="ＭＳ 明朝" w:hAnsi="ＭＳ 明朝" w:eastAsia="ＭＳ 明朝"/>
          <w:sz w:val="22"/>
        </w:rPr>
        <w:t>2</w:t>
      </w:r>
      <w:r>
        <w:rPr>
          <w:rFonts w:hint="eastAsia" w:ascii="ＭＳ 明朝" w:hAnsi="ＭＳ 明朝" w:eastAsia="ＭＳ 明朝"/>
          <w:sz w:val="22"/>
        </w:rPr>
        <w:t>地点における振動調査</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②自動車騒音常時監視業務</w:t>
      </w:r>
    </w:p>
    <w:p>
      <w:pPr>
        <w:pStyle w:val="29"/>
        <w:kinsoku w:val="0"/>
        <w:spacing w:line="358" w:lineRule="exact"/>
        <w:ind w:left="0" w:leftChars="0" w:right="-101" w:rightChars="-46" w:firstLineChars="0"/>
        <w:jc w:val="both"/>
        <w:rPr>
          <w:rFonts w:hint="default" w:ascii="ＭＳ 明朝" w:hAnsi="ＭＳ 明朝" w:eastAsia="ＭＳ 明朝"/>
          <w:sz w:val="22"/>
        </w:rPr>
      </w:pPr>
      <w:r>
        <w:rPr>
          <w:rFonts w:hint="eastAsia" w:ascii="ＭＳ 明朝" w:hAnsi="ＭＳ 明朝" w:eastAsia="ＭＳ 明朝"/>
          <w:sz w:val="22"/>
        </w:rPr>
        <w:t>　評価区間</w:t>
      </w:r>
      <w:r>
        <w:rPr>
          <w:rFonts w:hint="eastAsia" w:ascii="ＭＳ 明朝" w:hAnsi="ＭＳ 明朝" w:eastAsia="ＭＳ 明朝"/>
          <w:sz w:val="22"/>
        </w:rPr>
        <w:t>16</w:t>
      </w:r>
      <w:r>
        <w:rPr>
          <w:rFonts w:hint="eastAsia" w:ascii="ＭＳ 明朝" w:hAnsi="ＭＳ 明朝" w:eastAsia="ＭＳ 明朝"/>
          <w:sz w:val="22"/>
        </w:rPr>
        <w:t>区間，</w:t>
      </w:r>
      <w:r>
        <w:rPr>
          <w:rFonts w:hint="eastAsia" w:ascii="ＭＳ 明朝" w:hAnsi="ＭＳ 明朝" w:eastAsia="ＭＳ 明朝"/>
          <w:sz w:val="22"/>
        </w:rPr>
        <w:t>75.9</w:t>
      </w:r>
      <w:r>
        <w:rPr>
          <w:rFonts w:hint="eastAsia" w:ascii="ＭＳ 明朝" w:hAnsi="ＭＳ 明朝" w:eastAsia="ＭＳ 明朝"/>
          <w:sz w:val="22"/>
        </w:rPr>
        <w:t>㎞について，自動車騒音常時監視マニュアル（環境省）に基づき，道路調査，沿道調査を行い，自動車騒音，交通量等を測定し，面的評価を行う。</w:t>
      </w:r>
    </w:p>
    <w:p>
      <w:pPr>
        <w:pStyle w:val="29"/>
        <w:kinsoku w:val="0"/>
        <w:spacing w:line="358" w:lineRule="exact"/>
        <w:ind w:left="0" w:leftChars="0" w:right="-101" w:rightChars="-46" w:firstLineChars="0"/>
        <w:jc w:val="both"/>
        <w:rPr>
          <w:rFonts w:hint="default" w:ascii="ＭＳ 明朝" w:hAnsi="ＭＳ 明朝" w:eastAsia="ＭＳ 明朝"/>
          <w:sz w:val="22"/>
        </w:rPr>
      </w:pPr>
    </w:p>
    <w:p>
      <w:pPr>
        <w:pStyle w:val="0"/>
        <w:kinsoku w:val="0"/>
        <w:wordWrap w:val="0"/>
        <w:spacing w:line="358" w:lineRule="exact"/>
        <w:ind w:left="2125" w:right="-101" w:rightChars="-46" w:hanging="2125" w:hangingChars="924"/>
        <w:rPr>
          <w:rFonts w:hint="default" w:ascii="ＭＳ 明朝" w:hAnsi="ＭＳ 明朝" w:eastAsia="ＭＳ 明朝"/>
          <w:sz w:val="22"/>
        </w:rPr>
      </w:pPr>
      <w:r>
        <w:rPr>
          <w:rFonts w:hint="eastAsia" w:ascii="ＭＳ 明朝" w:hAnsi="ＭＳ 明朝" w:eastAsia="ＭＳ 明朝"/>
          <w:color w:val="000000"/>
          <w:sz w:val="22"/>
        </w:rPr>
        <w:t>（６）支払条件　前金払</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なし</w:t>
      </w:r>
    </w:p>
    <w:p>
      <w:pPr>
        <w:pStyle w:val="0"/>
        <w:kinsoku w:val="0"/>
        <w:wordWrap w:val="0"/>
        <w:spacing w:line="358" w:lineRule="exact"/>
        <w:ind w:left="2125" w:right="-101" w:rightChars="-46" w:hanging="2125" w:hangingChars="924"/>
        <w:rPr>
          <w:rFonts w:hint="default" w:ascii="ＭＳ 明朝" w:hAnsi="ＭＳ 明朝" w:eastAsia="ＭＳ 明朝"/>
          <w:sz w:val="22"/>
        </w:rPr>
      </w:pPr>
      <w:r>
        <w:rPr>
          <w:rFonts w:hint="eastAsia" w:ascii="ＭＳ 明朝" w:hAnsi="ＭＳ 明朝" w:eastAsia="ＭＳ 明朝"/>
          <w:sz w:val="22"/>
        </w:rPr>
        <w:t>（７）</w:t>
      </w:r>
      <w:r>
        <w:rPr>
          <w:rFonts w:hint="eastAsia" w:ascii="ＭＳ 明朝" w:hAnsi="ＭＳ 明朝" w:eastAsia="ＭＳ 明朝"/>
          <w:sz w:val="22"/>
          <w:u w:val="single" w:color="auto"/>
        </w:rPr>
        <w:t>最低制限価格</w:t>
      </w:r>
      <w:r>
        <w:rPr>
          <w:rFonts w:hint="eastAsia" w:ascii="ＭＳ 明朝" w:hAnsi="ＭＳ 明朝" w:eastAsia="ＭＳ 明朝"/>
          <w:sz w:val="22"/>
          <w:u w:val="single" w:color="auto"/>
        </w:rPr>
        <w:t xml:space="preserve"> </w:t>
      </w:r>
      <w:r>
        <w:rPr>
          <w:rFonts w:hint="eastAsia" w:ascii="ＭＳ 明朝" w:hAnsi="ＭＳ 明朝" w:eastAsia="ＭＳ 明朝"/>
          <w:sz w:val="22"/>
          <w:u w:val="single" w:color="auto"/>
        </w:rPr>
        <w:t>設定有り（大崎市入札契約事務取扱要綱第１５条第２項を必読のこと）</w:t>
      </w:r>
    </w:p>
    <w:p>
      <w:pPr>
        <w:pStyle w:val="0"/>
        <w:kinsoku w:val="0"/>
        <w:wordWrap w:val="0"/>
        <w:spacing w:line="358" w:lineRule="exact"/>
        <w:rPr>
          <w:rFonts w:hint="default" w:ascii="ＭＳ 明朝" w:hAnsi="ＭＳ 明朝" w:eastAsia="ＭＳ 明朝"/>
          <w:color w:val="000000"/>
          <w:sz w:val="22"/>
        </w:rPr>
      </w:pPr>
      <w:r>
        <w:rPr>
          <w:rFonts w:hint="eastAsia" w:ascii="ＭＳ 明朝" w:hAnsi="ＭＳ 明朝" w:eastAsia="ＭＳ 明朝"/>
          <w:color w:val="000000"/>
          <w:sz w:val="22"/>
        </w:rPr>
        <w:t>（８）入札方法</w:t>
      </w:r>
    </w:p>
    <w:p>
      <w:pPr>
        <w:pStyle w:val="0"/>
        <w:kinsoku w:val="0"/>
        <w:wordWrap w:val="0"/>
        <w:spacing w:line="358" w:lineRule="exact"/>
        <w:ind w:left="670" w:leftChars="200" w:hanging="230" w:hangingChars="100"/>
        <w:rPr>
          <w:rFonts w:hint="default" w:ascii="ＭＳ 明朝" w:hAnsi="ＭＳ 明朝" w:eastAsia="ＭＳ 明朝"/>
          <w:color w:val="000000"/>
          <w:sz w:val="22"/>
        </w:rPr>
      </w:pPr>
      <w:r>
        <w:rPr>
          <w:rFonts w:hint="eastAsia" w:ascii="ＭＳ 明朝" w:hAnsi="ＭＳ 明朝" w:eastAsia="ＭＳ 明朝"/>
          <w:color w:val="000000"/>
          <w:sz w:val="22"/>
        </w:rPr>
        <w:t>ア　条件付き一般競争入札（事後審査型）</w:t>
      </w:r>
    </w:p>
    <w:p>
      <w:pPr>
        <w:pStyle w:val="0"/>
        <w:kinsoku w:val="0"/>
        <w:wordWrap w:val="0"/>
        <w:spacing w:line="358" w:lineRule="exact"/>
        <w:ind w:left="670" w:leftChars="200" w:hanging="230" w:hangingChars="100"/>
        <w:rPr>
          <w:rFonts w:hint="default" w:ascii="ＭＳ 明朝" w:hAnsi="ＭＳ 明朝" w:eastAsia="ＭＳ 明朝"/>
          <w:sz w:val="22"/>
        </w:rPr>
      </w:pPr>
      <w:r>
        <w:rPr>
          <w:rFonts w:hint="eastAsia" w:ascii="ＭＳ 明朝" w:hAnsi="ＭＳ 明朝" w:eastAsia="ＭＳ 明朝"/>
          <w:sz w:val="22"/>
        </w:rPr>
        <w:t>イ　初度の入札で，予定価格の範囲内の価格で入札がない場合は，直ちに再度入札を，２回を限度とし実施する。</w:t>
      </w:r>
    </w:p>
    <w:p>
      <w:pPr>
        <w:pStyle w:val="0"/>
        <w:kinsoku w:val="0"/>
        <w:wordWrap w:val="0"/>
        <w:spacing w:line="358" w:lineRule="exact"/>
        <w:ind w:left="670" w:leftChars="200" w:hanging="230" w:hangingChars="100"/>
        <w:rPr>
          <w:rFonts w:hint="default" w:ascii="ＭＳ 明朝" w:hAnsi="ＭＳ 明朝" w:eastAsia="ＭＳ 明朝"/>
          <w:b w:val="1"/>
          <w:sz w:val="22"/>
        </w:rPr>
      </w:pPr>
      <w:r>
        <w:rPr>
          <w:rFonts w:hint="eastAsia" w:ascii="ＭＳ 明朝" w:hAnsi="ＭＳ 明朝" w:eastAsia="ＭＳ 明朝"/>
          <w:sz w:val="22"/>
        </w:rPr>
        <w:t>ウ　再度入札において，なお落札候補者がいない場合は，最低価格入札者と随意契約の協議を行うことがある。</w:t>
      </w:r>
    </w:p>
    <w:p>
      <w:pPr>
        <w:pStyle w:val="0"/>
        <w:kinsoku w:val="0"/>
        <w:wordWrap w:val="0"/>
        <w:spacing w:line="358" w:lineRule="exact"/>
        <w:ind w:leftChars="0" w:firstLine="0" w:firstLineChars="0"/>
        <w:rPr>
          <w:rFonts w:hint="default" w:ascii="ＭＳ 明朝" w:hAnsi="ＭＳ 明朝" w:eastAsia="ＭＳ 明朝"/>
          <w:color w:val="000000"/>
          <w:sz w:val="22"/>
        </w:rPr>
      </w:pPr>
    </w:p>
    <w:p>
      <w:pPr>
        <w:pStyle w:val="0"/>
        <w:kinsoku w:val="0"/>
        <w:wordWrap w:val="0"/>
        <w:spacing w:line="358" w:lineRule="exact"/>
        <w:ind w:leftChars="0" w:firstLine="0" w:firstLineChars="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leftChars="0" w:firstLine="0" w:firstLineChars="0"/>
        <w:rPr>
          <w:rFonts w:hint="default" w:ascii="ＭＳ 明朝" w:hAnsi="ＭＳ 明朝" w:eastAsia="ＭＳ 明朝"/>
          <w:color w:val="000000"/>
          <w:sz w:val="22"/>
        </w:rPr>
      </w:pPr>
    </w:p>
    <w:p>
      <w:pPr>
        <w:pStyle w:val="0"/>
        <w:kinsoku w:val="0"/>
        <w:wordWrap w:val="0"/>
        <w:spacing w:line="358" w:lineRule="exact"/>
        <w:ind w:leftChars="0" w:firstLine="0" w:firstLineChars="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leftChars="0" w:firstLine="0" w:firstLineChars="0"/>
        <w:rPr>
          <w:rFonts w:hint="default" w:ascii="ＭＳ 明朝" w:hAnsi="ＭＳ 明朝" w:eastAsia="ＭＳ 明朝"/>
          <w:color w:val="000000"/>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rPr>
          <w:rFonts w:hint="default"/>
          <w:sz w:val="22"/>
        </w:rPr>
      </w:pPr>
      <w:r>
        <w:rPr>
          <w:rFonts w:hint="eastAsia"/>
          <w:sz w:val="22"/>
        </w:rPr>
        <w:t>大崎市物品調達等に係る競争入札の参加資格等に関する規程第６条に規定する令和７・８年度又は令和８年度大崎市物品調達等に係る競争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tbl>
      <w:tblPr>
        <w:tblStyle w:val="11"/>
        <w:tblpPr w:leftFromText="0" w:rightFromText="0" w:topFromText="0" w:bottomFromText="0" w:vertAnchor="text" w:horzAnchor="margin" w:tblpX="126" w:tblpY="526"/>
        <w:tblOverlap w:val="never"/>
        <w:tblW w:w="10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576"/>
        <w:gridCol w:w="6529"/>
      </w:tblGrid>
      <w:tr>
        <w:trPr>
          <w:trHeight w:val="356"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登録業種及び登録部門</w:t>
            </w:r>
          </w:p>
        </w:tc>
        <w:tc>
          <w:tcPr>
            <w:tcW w:w="652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6"/>
              <w:ind w:left="0" w:leftChars="0" w:firstLine="0" w:firstLineChars="0"/>
              <w:rPr>
                <w:rFonts w:hint="default"/>
                <w:sz w:val="22"/>
              </w:rPr>
            </w:pPr>
            <w:r>
              <w:rPr>
                <w:rFonts w:hint="eastAsia"/>
                <w:sz w:val="22"/>
              </w:rPr>
              <w:t>業種：検査・分析業務，部門：計量証明事業</w:t>
            </w:r>
          </w:p>
        </w:tc>
      </w:tr>
      <w:tr>
        <w:trPr>
          <w:trHeight w:val="425"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事業所の所在地に関する条件</w:t>
            </w:r>
          </w:p>
        </w:tc>
        <w:tc>
          <w:tcPr>
            <w:tcW w:w="6529" w:type="dxa"/>
            <w:shd w:val="clear" w:color="auto" w:fill="auto"/>
            <w:vAlign w:val="top"/>
          </w:tcPr>
          <w:p>
            <w:pPr>
              <w:pStyle w:val="16"/>
              <w:wordWrap w:val="1"/>
              <w:ind w:left="0" w:lef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sz w:val="22"/>
              </w:rPr>
              <w:t>県内に本社（店）又は受任機関の登録を有すること。</w:t>
            </w:r>
          </w:p>
        </w:tc>
      </w:tr>
      <w:tr>
        <w:trPr>
          <w:trHeight w:val="425" w:hRule="atLeast"/>
        </w:trPr>
        <w:tc>
          <w:tcPr>
            <w:tcW w:w="3576" w:type="dxa"/>
            <w:shd w:val="clear" w:color="auto" w:fill="auto"/>
            <w:vAlign w:val="top"/>
          </w:tcPr>
          <w:p>
            <w:pPr>
              <w:pStyle w:val="0"/>
              <w:rPr>
                <w:rFonts w:hint="eastAsia"/>
                <w:sz w:val="22"/>
              </w:rPr>
            </w:pPr>
            <w:r>
              <w:rPr>
                <w:rFonts w:hint="eastAsia"/>
                <w:sz w:val="22"/>
              </w:rPr>
              <w:t>資格に関する条件</w:t>
            </w:r>
          </w:p>
        </w:tc>
        <w:tc>
          <w:tcPr>
            <w:tcW w:w="6529" w:type="dxa"/>
            <w:shd w:val="clear" w:color="auto" w:fill="auto"/>
            <w:vAlign w:val="top"/>
          </w:tcPr>
          <w:p>
            <w:pPr>
              <w:pStyle w:val="0"/>
              <w:rPr>
                <w:rFonts w:hint="eastAsia"/>
              </w:rPr>
            </w:pPr>
            <w:r>
              <w:rPr>
                <w:rFonts w:hint="eastAsia"/>
                <w:sz w:val="22"/>
              </w:rPr>
              <w:t>計量証明事業の「音圧レベル」及び「振動加速度レベル」の区分で登録があること。</w:t>
            </w:r>
          </w:p>
        </w:tc>
      </w:tr>
      <w:tr>
        <w:trPr>
          <w:trHeight w:val="683"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その他</w:t>
            </w:r>
          </w:p>
        </w:tc>
        <w:tc>
          <w:tcPr>
            <w:tcW w:w="6529"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sz w:val="22"/>
              </w:rPr>
              <w:t>別紙条件付き一般競争入札（事後審査型）公告共通事項に示すとおりとする。</w:t>
            </w:r>
          </w:p>
        </w:tc>
      </w:tr>
    </w:tbl>
    <w:p>
      <w:pPr>
        <w:pStyle w:val="0"/>
        <w:rPr>
          <w:rFonts w:hint="default"/>
          <w:sz w:val="22"/>
        </w:rPr>
      </w:pP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５</w:t>
      </w:r>
      <w:r>
        <w:rPr>
          <w:rFonts w:hint="eastAsia" w:ascii="ＭＳ 明朝" w:hAnsi="ＭＳ 明朝" w:eastAsia="ＭＳ 明朝"/>
          <w:sz w:val="22"/>
        </w:rPr>
        <w:t xml:space="preserve"> </w:t>
      </w:r>
      <w:r>
        <w:rPr>
          <w:rFonts w:hint="eastAsia" w:ascii="ＭＳ 明朝" w:hAnsi="ＭＳ 明朝" w:eastAsia="ＭＳ 明朝"/>
          <w:sz w:val="22"/>
        </w:rPr>
        <w:t>担当課</w:t>
      </w:r>
    </w:p>
    <w:tbl>
      <w:tblPr>
        <w:tblStyle w:val="11"/>
        <w:tblW w:w="10187" w:type="dxa"/>
        <w:jc w:val="left"/>
        <w:tblInd w:w="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91"/>
        <w:gridCol w:w="2976"/>
        <w:gridCol w:w="1760"/>
        <w:gridCol w:w="3960"/>
      </w:tblGrid>
      <w:tr>
        <w:trPr/>
        <w:tc>
          <w:tcPr>
            <w:tcW w:w="1491"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976"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113" w:hRule="atLeast"/>
        </w:trPr>
        <w:tc>
          <w:tcPr>
            <w:tcW w:w="149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入札担当課</w:t>
            </w:r>
          </w:p>
        </w:tc>
        <w:tc>
          <w:tcPr>
            <w:tcW w:w="29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w:t>
            </w:r>
          </w:p>
        </w:tc>
        <w:tc>
          <w:tcPr>
            <w:tcW w:w="17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0229-23-5177</w:t>
            </w:r>
          </w:p>
        </w:tc>
        <w:tc>
          <w:tcPr>
            <w:tcW w:w="3960" w:type="dxa"/>
            <w:shd w:val="clear" w:color="auto" w:fill="auto"/>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989-6188</w:t>
            </w:r>
          </w:p>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大崎市古川七日町</w:t>
            </w:r>
            <w:r>
              <w:rPr>
                <w:rFonts w:hint="eastAsia" w:asciiTheme="minorEastAsia" w:hAnsiTheme="minorEastAsia" w:eastAsiaTheme="minorEastAsia"/>
                <w:sz w:val="22"/>
              </w:rPr>
              <w:t>1</w:t>
            </w:r>
            <w:r>
              <w:rPr>
                <w:rFonts w:hint="eastAsia" w:asciiTheme="minorEastAsia" w:hAnsiTheme="minorEastAsia" w:eastAsiaTheme="minorEastAsia"/>
                <w:sz w:val="22"/>
              </w:rPr>
              <w:t>番</w:t>
            </w:r>
            <w:r>
              <w:rPr>
                <w:rFonts w:hint="eastAsia" w:asciiTheme="minorEastAsia" w:hAnsiTheme="minorEastAsia" w:eastAsiaTheme="minorEastAsia"/>
                <w:sz w:val="22"/>
              </w:rPr>
              <w:t>1</w:t>
            </w:r>
            <w:r>
              <w:rPr>
                <w:rFonts w:hint="eastAsia" w:asciiTheme="minorEastAsia" w:hAnsiTheme="minorEastAsia" w:eastAsiaTheme="minorEastAsia"/>
                <w:sz w:val="22"/>
              </w:rPr>
              <w:t>号</w:t>
            </w:r>
          </w:p>
        </w:tc>
      </w:tr>
      <w:tr>
        <w:trPr>
          <w:cantSplit/>
          <w:trHeight w:val="70" w:hRule="atLeast"/>
        </w:trPr>
        <w:tc>
          <w:tcPr>
            <w:tcW w:w="1491" w:type="dxa"/>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業務担当課</w:t>
            </w:r>
          </w:p>
        </w:tc>
        <w:tc>
          <w:tcPr>
            <w:tcW w:w="2976" w:type="dxa"/>
            <w:vAlign w:val="center"/>
          </w:tcPr>
          <w:p>
            <w:pPr>
              <w:pStyle w:val="0"/>
              <w:kinsoku w:val="0"/>
              <w:spacing w:line="358" w:lineRule="exact"/>
              <w:jc w:val="both"/>
              <w:rPr>
                <w:rFonts w:hint="default" w:ascii="ＭＳ 明朝" w:hAnsi="ＭＳ 明朝" w:eastAsia="ＭＳ 明朝"/>
                <w:sz w:val="22"/>
              </w:rPr>
            </w:pPr>
            <w:r>
              <w:rPr>
                <w:rFonts w:hint="eastAsia" w:ascii="ＭＳ 明朝" w:hAnsi="ＭＳ 明朝" w:eastAsia="ＭＳ 明朝"/>
                <w:sz w:val="22"/>
              </w:rPr>
              <w:t>大崎市市民協働推進部</w:t>
            </w:r>
          </w:p>
          <w:p>
            <w:pPr>
              <w:pStyle w:val="0"/>
              <w:kinsoku w:val="0"/>
              <w:spacing w:line="358" w:lineRule="exact"/>
              <w:jc w:val="both"/>
              <w:rPr>
                <w:rFonts w:hint="default" w:ascii="ＭＳ 明朝" w:hAnsi="ＭＳ 明朝" w:eastAsia="ＭＳ 明朝"/>
                <w:sz w:val="22"/>
              </w:rPr>
            </w:pPr>
            <w:r>
              <w:rPr>
                <w:rFonts w:hint="eastAsia" w:ascii="ＭＳ 明朝" w:hAnsi="ＭＳ 明朝" w:eastAsia="ＭＳ 明朝"/>
                <w:sz w:val="22"/>
              </w:rPr>
              <w:t>環境保全課</w:t>
            </w:r>
          </w:p>
        </w:tc>
        <w:tc>
          <w:tcPr>
            <w:tcW w:w="1760" w:type="dxa"/>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0229-23-6074</w:t>
            </w:r>
          </w:p>
        </w:tc>
        <w:tc>
          <w:tcPr>
            <w:tcW w:w="3960" w:type="dxa"/>
            <w:shd w:val="clear" w:color="auto" w:fill="auto"/>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989-6188</w:t>
            </w:r>
          </w:p>
          <w:p>
            <w:pPr>
              <w:pStyle w:val="0"/>
              <w:rPr>
                <w:rFonts w:hint="default" w:asciiTheme="minorEastAsia" w:hAnsiTheme="minorEastAsia" w:eastAsiaTheme="minorEastAsia"/>
                <w:sz w:val="22"/>
              </w:rPr>
            </w:pPr>
            <w:r>
              <w:rPr>
                <w:rFonts w:hint="eastAsia" w:asciiTheme="minorEastAsia" w:hAnsiTheme="minorEastAsia" w:eastAsiaTheme="minorEastAsia"/>
                <w:sz w:val="22"/>
              </w:rPr>
              <w:t>大崎市古川七日町</w:t>
            </w:r>
            <w:r>
              <w:rPr>
                <w:rFonts w:hint="eastAsia" w:asciiTheme="minorEastAsia" w:hAnsiTheme="minorEastAsia" w:eastAsiaTheme="minorEastAsia"/>
                <w:sz w:val="22"/>
              </w:rPr>
              <w:t>1</w:t>
            </w:r>
            <w:r>
              <w:rPr>
                <w:rFonts w:hint="eastAsia" w:asciiTheme="minorEastAsia" w:hAnsiTheme="minorEastAsia" w:eastAsiaTheme="minorEastAsia"/>
                <w:sz w:val="22"/>
              </w:rPr>
              <w:t>番</w:t>
            </w:r>
            <w:r>
              <w:rPr>
                <w:rFonts w:hint="eastAsia" w:asciiTheme="minorEastAsia" w:hAnsiTheme="minorEastAsia" w:eastAsiaTheme="minorEastAsia"/>
                <w:sz w:val="22"/>
              </w:rPr>
              <w:t>1</w:t>
            </w:r>
            <w:r>
              <w:rPr>
                <w:rFonts w:hint="eastAsia" w:asciiTheme="minorEastAsia" w:hAnsiTheme="minorEastAsia" w:eastAsiaTheme="minorEastAsia"/>
                <w:sz w:val="22"/>
              </w:rPr>
              <w:t>号</w:t>
            </w:r>
          </w:p>
        </w:tc>
      </w:tr>
    </w:tbl>
    <w:p>
      <w:pPr>
        <w:pStyle w:val="0"/>
        <w:kinsoku w:val="0"/>
        <w:wordWrap w:val="0"/>
        <w:spacing w:line="358" w:lineRule="exact"/>
        <w:rPr>
          <w:rFonts w:hint="default" w:ascii="ＭＳ 明朝" w:hAnsi="ＭＳ 明朝" w:eastAsia="ＭＳ 明朝"/>
          <w:color w:val="000000"/>
          <w:sz w:val="22"/>
        </w:rPr>
      </w:pPr>
    </w:p>
    <w:p>
      <w:pPr>
        <w:pStyle w:val="0"/>
        <w:kinsoku w:val="0"/>
        <w:wordWrap w:val="0"/>
        <w:spacing w:line="358" w:lineRule="exact"/>
        <w:rPr>
          <w:rFonts w:hint="default" w:ascii="ＭＳ 明朝" w:hAnsi="ＭＳ 明朝" w:eastAsia="ＭＳ 明朝"/>
          <w:color w:val="000000"/>
          <w:sz w:val="22"/>
        </w:rPr>
      </w:pPr>
      <w:r>
        <w:rPr>
          <w:rFonts w:hint="eastAsia" w:ascii="ＭＳ 明朝" w:hAnsi="ＭＳ 明朝" w:eastAsia="ＭＳ 明朝"/>
          <w:color w:val="000000"/>
          <w:sz w:val="22"/>
        </w:rPr>
        <w:t>６</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入札日程</w:t>
      </w:r>
    </w:p>
    <w:tbl>
      <w:tblPr>
        <w:tblStyle w:val="11"/>
        <w:tblW w:w="99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58"/>
        <w:gridCol w:w="4141"/>
        <w:gridCol w:w="4364"/>
      </w:tblGrid>
      <w:tr>
        <w:trPr/>
        <w:tc>
          <w:tcPr>
            <w:tcW w:w="1458" w:type="dxa"/>
            <w:vAlign w:val="top"/>
          </w:tcPr>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手続等</w:t>
            </w:r>
          </w:p>
        </w:tc>
        <w:tc>
          <w:tcPr>
            <w:tcW w:w="4141"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期間･期日･期限</w:t>
            </w:r>
          </w:p>
        </w:tc>
        <w:tc>
          <w:tcPr>
            <w:tcW w:w="4364"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場所</w:t>
            </w:r>
          </w:p>
        </w:tc>
      </w:tr>
      <w:tr>
        <w:trPr>
          <w:trHeight w:val="832" w:hRule="atLeast"/>
        </w:trPr>
        <w:tc>
          <w:tcPr>
            <w:tcW w:w="1458" w:type="dxa"/>
            <w:vAlign w:val="top"/>
          </w:tcPr>
          <w:p>
            <w:pPr>
              <w:pStyle w:val="0"/>
              <w:rPr>
                <w:rFonts w:hint="default"/>
                <w:color w:val="000000" w:themeColor="text1"/>
                <w:sz w:val="21"/>
              </w:rPr>
            </w:pPr>
            <w:r>
              <w:rPr>
                <w:rFonts w:hint="eastAsia"/>
                <w:color w:val="000000" w:themeColor="text1"/>
                <w:sz w:val="21"/>
              </w:rPr>
              <w:t>設計図書等の閲覧</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 xml:space="preserve"> 2</w:t>
            </w:r>
            <w:r>
              <w:rPr>
                <w:rFonts w:hint="eastAsia"/>
                <w:sz w:val="22"/>
              </w:rPr>
              <w:t>日（水）から</w:t>
            </w:r>
          </w:p>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15</w:t>
            </w:r>
            <w:r>
              <w:rPr>
                <w:rFonts w:hint="eastAsia"/>
                <w:sz w:val="22"/>
              </w:rPr>
              <w:t>日（火）までの</w:t>
            </w:r>
          </w:p>
          <w:p>
            <w:pPr>
              <w:pStyle w:val="0"/>
              <w:rPr>
                <w:rFonts w:hint="default"/>
                <w:sz w:val="22"/>
              </w:rPr>
            </w:pPr>
            <w:r>
              <w:rPr>
                <w:rFonts w:hint="eastAsia"/>
                <w:sz w:val="22"/>
              </w:rPr>
              <w:t>午前</w:t>
            </w:r>
            <w:r>
              <w:rPr>
                <w:rFonts w:hint="eastAsia"/>
                <w:sz w:val="22"/>
              </w:rPr>
              <w:t xml:space="preserve"> 9</w:t>
            </w:r>
            <w:r>
              <w:rPr>
                <w:rFonts w:hint="eastAsia"/>
                <w:sz w:val="22"/>
              </w:rPr>
              <w:t>時から午後</w:t>
            </w:r>
            <w:r>
              <w:rPr>
                <w:rFonts w:hint="eastAsia"/>
                <w:sz w:val="22"/>
              </w:rPr>
              <w:t xml:space="preserve"> 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r>
        <w:trPr>
          <w:trHeight w:val="606" w:hRule="atLeast"/>
        </w:trPr>
        <w:tc>
          <w:tcPr>
            <w:tcW w:w="1458" w:type="dxa"/>
            <w:vAlign w:val="top"/>
          </w:tcPr>
          <w:p>
            <w:pPr>
              <w:pStyle w:val="0"/>
              <w:rPr>
                <w:rFonts w:hint="default"/>
                <w:color w:val="000000" w:themeColor="text1"/>
                <w:sz w:val="21"/>
              </w:rPr>
            </w:pPr>
            <w:r>
              <w:rPr>
                <w:rFonts w:hint="eastAsia"/>
                <w:color w:val="000000" w:themeColor="text1"/>
                <w:sz w:val="21"/>
              </w:rPr>
              <w:t>質問の受付</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 xml:space="preserve"> 2</w:t>
            </w:r>
            <w:r>
              <w:rPr>
                <w:rFonts w:hint="eastAsia"/>
                <w:sz w:val="22"/>
              </w:rPr>
              <w:t>日（水）午前</w:t>
            </w:r>
            <w:r>
              <w:rPr>
                <w:rFonts w:hint="eastAsia"/>
                <w:sz w:val="22"/>
              </w:rPr>
              <w:t>9</w:t>
            </w:r>
            <w:r>
              <w:rPr>
                <w:rFonts w:hint="eastAsia"/>
                <w:sz w:val="22"/>
              </w:rPr>
              <w:t>時から</w:t>
            </w:r>
          </w:p>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 xml:space="preserve"> 8</w:t>
            </w:r>
            <w:r>
              <w:rPr>
                <w:rFonts w:hint="eastAsia"/>
                <w:sz w:val="22"/>
              </w:rPr>
              <w:t>日（火）午後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大崎市役所本庁舎４階　</w:t>
            </w:r>
            <w:r>
              <w:rPr>
                <w:rFonts w:hint="default"/>
                <w:color w:val="000000" w:themeColor="text1"/>
                <w:sz w:val="21"/>
              </w:rPr>
              <w:t>財政課</w:t>
            </w:r>
          </w:p>
        </w:tc>
      </w:tr>
      <w:tr>
        <w:trPr>
          <w:trHeight w:val="211" w:hRule="atLeast"/>
        </w:trPr>
        <w:tc>
          <w:tcPr>
            <w:tcW w:w="1458" w:type="dxa"/>
            <w:vAlign w:val="top"/>
          </w:tcPr>
          <w:p>
            <w:pPr>
              <w:pStyle w:val="0"/>
              <w:rPr>
                <w:rFonts w:hint="default"/>
                <w:color w:val="000000" w:themeColor="text1"/>
                <w:sz w:val="21"/>
              </w:rPr>
            </w:pPr>
            <w:r>
              <w:rPr>
                <w:rFonts w:hint="eastAsia"/>
                <w:color w:val="000000" w:themeColor="text1"/>
                <w:sz w:val="21"/>
              </w:rPr>
              <w:t>質問の回答</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10</w:t>
            </w:r>
            <w:r>
              <w:rPr>
                <w:rFonts w:hint="eastAsia"/>
                <w:sz w:val="22"/>
              </w:rPr>
              <w:t>日（木）午後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w:t>
            </w:r>
            <w:r>
              <w:rPr>
                <w:rFonts w:hint="default"/>
                <w:color w:val="000000" w:themeColor="text1"/>
                <w:sz w:val="21"/>
              </w:rPr>
              <w:t>市政情報センター</w:t>
            </w:r>
          </w:p>
          <w:p>
            <w:pPr>
              <w:pStyle w:val="0"/>
              <w:rPr>
                <w:rFonts w:hint="default"/>
                <w:color w:val="000000" w:themeColor="text1"/>
                <w:sz w:val="21"/>
              </w:rPr>
            </w:pPr>
            <w:r>
              <w:rPr>
                <w:rFonts w:hint="eastAsia"/>
                <w:color w:val="000000" w:themeColor="text1"/>
                <w:sz w:val="21"/>
              </w:rPr>
              <w:t>及び大崎市公式ウェブサイト</w:t>
            </w:r>
          </w:p>
        </w:tc>
      </w:tr>
      <w:tr>
        <w:trPr>
          <w:trHeight w:val="410" w:hRule="atLeast"/>
        </w:trPr>
        <w:tc>
          <w:tcPr>
            <w:tcW w:w="1458" w:type="dxa"/>
            <w:vAlign w:val="top"/>
          </w:tcPr>
          <w:p>
            <w:pPr>
              <w:pStyle w:val="0"/>
              <w:rPr>
                <w:rFonts w:hint="default"/>
                <w:color w:val="000000" w:themeColor="text1"/>
                <w:sz w:val="21"/>
              </w:rPr>
            </w:pPr>
            <w:r>
              <w:rPr>
                <w:rFonts w:hint="eastAsia"/>
                <w:color w:val="000000" w:themeColor="text1"/>
                <w:sz w:val="21"/>
              </w:rPr>
              <w:t>入札書の</w:t>
            </w:r>
          </w:p>
          <w:p>
            <w:pPr>
              <w:pStyle w:val="0"/>
              <w:rPr>
                <w:rFonts w:hint="default"/>
                <w:color w:val="000000" w:themeColor="text1"/>
                <w:sz w:val="21"/>
              </w:rPr>
            </w:pPr>
            <w:r>
              <w:rPr>
                <w:rFonts w:hint="eastAsia"/>
                <w:color w:val="000000" w:themeColor="text1"/>
                <w:sz w:val="21"/>
              </w:rPr>
              <w:t>受付締切</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16</w:t>
            </w:r>
            <w:r>
              <w:rPr>
                <w:rFonts w:hint="eastAsia"/>
                <w:sz w:val="22"/>
              </w:rPr>
              <w:t>日（水）</w:t>
            </w:r>
          </w:p>
          <w:p>
            <w:pPr>
              <w:pStyle w:val="0"/>
              <w:rPr>
                <w:rFonts w:hint="default"/>
                <w:b w:val="1"/>
                <w:sz w:val="22"/>
                <w:u w:val="double" w:color="auto"/>
              </w:rPr>
            </w:pPr>
            <w:r>
              <w:rPr>
                <w:rFonts w:hint="default"/>
                <w:b w:val="1"/>
                <w:sz w:val="22"/>
                <w:u w:val="double" w:color="auto"/>
              </w:rPr>
              <w:t>(</w:t>
            </w:r>
            <w:r>
              <w:rPr>
                <w:rFonts w:hint="default"/>
                <w:b w:val="1"/>
                <w:sz w:val="22"/>
                <w:u w:val="double" w:color="auto"/>
              </w:rPr>
              <w:t>同日まで到達した者のみ有効。配達証明付郵便に限る</w:t>
            </w:r>
            <w:r>
              <w:rPr>
                <w:rFonts w:hint="default"/>
                <w:b w:val="1"/>
                <w:sz w:val="22"/>
                <w:u w:val="double" w:color="auto"/>
              </w:rPr>
              <w:t>)</w:t>
            </w:r>
          </w:p>
        </w:tc>
        <w:tc>
          <w:tcPr>
            <w:tcW w:w="4364" w:type="dxa"/>
            <w:vAlign w:val="top"/>
          </w:tcPr>
          <w:p>
            <w:pPr>
              <w:pStyle w:val="0"/>
              <w:rPr>
                <w:rFonts w:hint="default"/>
                <w:color w:val="000000" w:themeColor="text1"/>
                <w:sz w:val="21"/>
              </w:rPr>
            </w:pPr>
            <w:r>
              <w:rPr>
                <w:rFonts w:hint="eastAsia"/>
                <w:color w:val="000000" w:themeColor="text1"/>
                <w:sz w:val="21"/>
              </w:rPr>
              <w:t>郵送先〒</w:t>
            </w:r>
            <w:r>
              <w:rPr>
                <w:rFonts w:hint="eastAsia"/>
                <w:color w:val="000000" w:themeColor="text1"/>
                <w:sz w:val="21"/>
              </w:rPr>
              <w:t>989-6188</w:t>
            </w:r>
          </w:p>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大崎市総務部財政課</w:t>
            </w:r>
          </w:p>
        </w:tc>
      </w:tr>
      <w:tr>
        <w:trPr>
          <w:trHeight w:val="327" w:hRule="atLeast"/>
        </w:trPr>
        <w:tc>
          <w:tcPr>
            <w:tcW w:w="1458" w:type="dxa"/>
            <w:vAlign w:val="top"/>
          </w:tcPr>
          <w:p>
            <w:pPr>
              <w:pStyle w:val="0"/>
              <w:rPr>
                <w:rFonts w:hint="default"/>
                <w:color w:val="000000" w:themeColor="text1"/>
                <w:sz w:val="21"/>
              </w:rPr>
            </w:pPr>
            <w:r>
              <w:rPr>
                <w:rFonts w:hint="eastAsia"/>
                <w:color w:val="000000" w:themeColor="text1"/>
                <w:sz w:val="21"/>
              </w:rPr>
              <w:t>開札</w:t>
            </w:r>
          </w:p>
        </w:tc>
        <w:tc>
          <w:tcPr>
            <w:tcW w:w="4141" w:type="dxa"/>
            <w:vAlign w:val="top"/>
          </w:tcPr>
          <w:p>
            <w:pPr>
              <w:pStyle w:val="0"/>
              <w:rPr>
                <w:rFonts w:hint="eastAsia"/>
                <w:color w:val="000000" w:themeColor="text1"/>
                <w:sz w:val="22"/>
              </w:rPr>
            </w:pPr>
            <w:r>
              <w:rPr>
                <w:rFonts w:hint="eastAsia"/>
                <w:color w:val="000000" w:themeColor="text1"/>
                <w:sz w:val="22"/>
              </w:rPr>
              <w:t>令和</w:t>
            </w:r>
            <w:r>
              <w:rPr>
                <w:rFonts w:hint="eastAsia"/>
                <w:color w:val="000000" w:themeColor="text1"/>
                <w:sz w:val="22"/>
              </w:rPr>
              <w:t>8</w:t>
            </w:r>
            <w:r>
              <w:rPr>
                <w:rFonts w:hint="eastAsia"/>
                <w:color w:val="000000" w:themeColor="text1"/>
                <w:sz w:val="22"/>
              </w:rPr>
              <w:t>年</w:t>
            </w:r>
            <w:r>
              <w:rPr>
                <w:rFonts w:hint="eastAsia"/>
                <w:color w:val="000000" w:themeColor="text1"/>
                <w:sz w:val="22"/>
              </w:rPr>
              <w:t xml:space="preserve"> 9</w:t>
            </w:r>
            <w:r>
              <w:rPr>
                <w:rFonts w:hint="eastAsia"/>
                <w:color w:val="000000" w:themeColor="text1"/>
                <w:sz w:val="22"/>
              </w:rPr>
              <w:t>月</w:t>
            </w:r>
            <w:r>
              <w:rPr>
                <w:rFonts w:hint="eastAsia"/>
                <w:color w:val="000000" w:themeColor="text1"/>
                <w:sz w:val="22"/>
              </w:rPr>
              <w:t xml:space="preserve"> 24</w:t>
            </w:r>
            <w:r>
              <w:rPr>
                <w:rFonts w:hint="eastAsia"/>
                <w:color w:val="000000" w:themeColor="text1"/>
                <w:sz w:val="22"/>
              </w:rPr>
              <w:t>日（木）</w:t>
            </w:r>
          </w:p>
          <w:p>
            <w:pPr>
              <w:pStyle w:val="0"/>
              <w:rPr>
                <w:rFonts w:hint="default"/>
                <w:color w:val="000000" w:themeColor="text1"/>
                <w:sz w:val="22"/>
              </w:rPr>
            </w:pPr>
            <w:r>
              <w:rPr>
                <w:rFonts w:hint="eastAsia"/>
                <w:color w:val="000000" w:themeColor="text1"/>
                <w:sz w:val="22"/>
              </w:rPr>
              <w:t>午前</w:t>
            </w:r>
            <w:r>
              <w:rPr>
                <w:rFonts w:hint="eastAsia"/>
                <w:color w:val="000000" w:themeColor="text1"/>
                <w:sz w:val="22"/>
              </w:rPr>
              <w:t>9</w:t>
            </w:r>
            <w:r>
              <w:rPr>
                <w:rFonts w:hint="eastAsia"/>
                <w:color w:val="000000" w:themeColor="text1"/>
                <w:sz w:val="22"/>
              </w:rPr>
              <w:t>時</w:t>
            </w:r>
            <w:r>
              <w:rPr>
                <w:rFonts w:hint="eastAsia"/>
                <w:color w:val="000000" w:themeColor="text1"/>
                <w:sz w:val="22"/>
              </w:rPr>
              <w:t>50</w:t>
            </w:r>
            <w:r>
              <w:rPr>
                <w:rFonts w:hint="eastAsia"/>
                <w:color w:val="000000" w:themeColor="text1"/>
                <w:sz w:val="22"/>
              </w:rPr>
              <w:t>分から</w:t>
            </w:r>
          </w:p>
        </w:tc>
        <w:tc>
          <w:tcPr>
            <w:tcW w:w="4364" w:type="dxa"/>
            <w:vAlign w:val="top"/>
          </w:tcPr>
          <w:p>
            <w:pPr>
              <w:pStyle w:val="0"/>
              <w:rPr>
                <w:rFonts w:hint="eastAsia"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大崎市古川七日町１番１号</w:t>
            </w:r>
          </w:p>
          <w:p>
            <w:pPr>
              <w:pStyle w:val="0"/>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大崎市役所東庁舎</w:t>
            </w:r>
            <w:r>
              <w:rPr>
                <w:rFonts w:hint="eastAsia" w:asciiTheme="minorEastAsia" w:hAnsiTheme="minorEastAsia" w:eastAsiaTheme="minorEastAsia"/>
                <w:color w:val="000000" w:themeColor="text1"/>
                <w:sz w:val="21"/>
              </w:rPr>
              <w:t>1</w:t>
            </w:r>
            <w:r>
              <w:rPr>
                <w:rFonts w:hint="eastAsia" w:asciiTheme="minorEastAsia" w:hAnsiTheme="minorEastAsia" w:eastAsiaTheme="minorEastAsia"/>
                <w:color w:val="000000" w:themeColor="text1"/>
                <w:sz w:val="21"/>
              </w:rPr>
              <w:t>階</w:t>
            </w:r>
            <w:r>
              <w:rPr>
                <w:rFonts w:hint="eastAsia" w:asciiTheme="minorEastAsia" w:hAnsiTheme="minorEastAsia" w:eastAsiaTheme="minorEastAsia"/>
                <w:color w:val="000000" w:themeColor="text1"/>
                <w:sz w:val="21"/>
              </w:rPr>
              <w:t>101</w:t>
            </w:r>
            <w:r>
              <w:rPr>
                <w:rFonts w:hint="eastAsia" w:asciiTheme="minorEastAsia" w:hAnsiTheme="minorEastAsia" w:eastAsiaTheme="minorEastAsia"/>
                <w:color w:val="000000" w:themeColor="text1"/>
                <w:sz w:val="21"/>
              </w:rPr>
              <w:t>会議室</w:t>
            </w:r>
          </w:p>
        </w:tc>
      </w:tr>
      <w:tr>
        <w:trPr>
          <w:trHeight w:val="294" w:hRule="atLeast"/>
        </w:trPr>
        <w:tc>
          <w:tcPr>
            <w:tcW w:w="1458" w:type="dxa"/>
            <w:vAlign w:val="top"/>
          </w:tcPr>
          <w:p>
            <w:pPr>
              <w:pStyle w:val="0"/>
              <w:rPr>
                <w:rFonts w:hint="default"/>
                <w:color w:val="000000" w:themeColor="text1"/>
                <w:sz w:val="21"/>
              </w:rPr>
            </w:pPr>
            <w:r>
              <w:rPr>
                <w:rFonts w:hint="eastAsia"/>
                <w:color w:val="000000" w:themeColor="text1"/>
                <w:sz w:val="21"/>
              </w:rPr>
              <w:t>入札結果</w:t>
            </w:r>
          </w:p>
          <w:p>
            <w:pPr>
              <w:pStyle w:val="0"/>
              <w:rPr>
                <w:rFonts w:hint="default"/>
                <w:color w:val="000000" w:themeColor="text1"/>
                <w:sz w:val="21"/>
              </w:rPr>
            </w:pPr>
            <w:r>
              <w:rPr>
                <w:rFonts w:hint="eastAsia"/>
                <w:color w:val="000000" w:themeColor="text1"/>
                <w:sz w:val="21"/>
              </w:rPr>
              <w:t>の公表</w:t>
            </w:r>
          </w:p>
        </w:tc>
        <w:tc>
          <w:tcPr>
            <w:tcW w:w="4141" w:type="dxa"/>
            <w:vAlign w:val="top"/>
          </w:tcPr>
          <w:p>
            <w:pPr>
              <w:pStyle w:val="0"/>
              <w:rPr>
                <w:rFonts w:hint="default"/>
                <w:sz w:val="22"/>
              </w:rPr>
            </w:pPr>
            <w:r>
              <w:rPr>
                <w:rFonts w:hint="eastAsia"/>
                <w:sz w:val="22"/>
              </w:rPr>
              <w:t>落札決定後に公表</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bl>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（注１）上記の期間は，土曜日，日曜日，国民の祝日に関する法律（昭和２３年法律第１７　　　　８号）に規定する休日（以下「休日等」という。）を除く。</w:t>
      </w:r>
    </w:p>
    <w:p>
      <w:pPr>
        <w:pStyle w:val="0"/>
        <w:kinsoku w:val="0"/>
        <w:wordWrap w:val="0"/>
        <w:spacing w:line="358" w:lineRule="exact"/>
        <w:ind w:leftChars="0" w:firstLineChars="0"/>
        <w:rPr>
          <w:rFonts w:hint="default" w:ascii="ＭＳ 明朝" w:hAnsi="ＭＳ 明朝" w:eastAsia="ＭＳ 明朝"/>
          <w:sz w:val="22"/>
        </w:rPr>
      </w:pPr>
      <w:r>
        <w:rPr>
          <w:rFonts w:hint="eastAsia" w:ascii="ＭＳ 明朝" w:hAnsi="ＭＳ 明朝" w:eastAsia="ＭＳ 明朝"/>
          <w:sz w:val="22"/>
        </w:rPr>
        <w:t>（注２）設計図書等は，当該業務に係る注文書，図面及び契約条項をいう。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７　資格審査時の提出書類</w:t>
      </w:r>
    </w:p>
    <w:p>
      <w:pPr>
        <w:pStyle w:val="0"/>
        <w:kinsoku w:val="0"/>
        <w:wordWrap w:val="0"/>
        <w:spacing w:line="358" w:lineRule="exact"/>
        <w:ind w:left="220" w:leftChars="100" w:firstLine="230" w:firstLineChars="100"/>
        <w:rPr>
          <w:rFonts w:hint="default" w:ascii="ＭＳ 明朝" w:hAnsi="ＭＳ 明朝" w:eastAsia="ＭＳ 明朝"/>
          <w:sz w:val="22"/>
        </w:rPr>
      </w:pPr>
      <w:r>
        <w:rPr>
          <w:rFonts w:hint="eastAsia" w:ascii="ＭＳ 明朝" w:hAnsi="ＭＳ 明朝" w:eastAsia="ＭＳ 明朝"/>
          <w:sz w:val="22"/>
        </w:rPr>
        <w:t>入札執行者から開札後入札参加確認書類の提出を求められた場合は，下記の書類を提出すること。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Theme="minorEastAsia" w:hAnsiTheme="minorEastAsia" w:eastAsiaTheme="minorEastAsia"/>
          <w:sz w:val="22"/>
        </w:rPr>
        <w:t>（１）</w:t>
      </w:r>
      <w:r>
        <w:rPr>
          <w:rFonts w:hint="eastAsia" w:ascii="ＭＳ 明朝" w:hAnsi="ＭＳ 明朝" w:eastAsia="ＭＳ 明朝"/>
          <w:sz w:val="22"/>
        </w:rPr>
        <w:t>大崎市競争入札参加業者登録書の写し　　　　　　　　　　　　　　　１部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（２）計量証明事業の登録区分が確認できる書類の写し　　　　　　　　　　１部</w:t>
      </w:r>
    </w:p>
    <w:p>
      <w:pPr>
        <w:pStyle w:val="0"/>
        <w:kinsoku w:val="0"/>
        <w:wordWrap w:val="0"/>
        <w:spacing w:line="358" w:lineRule="exact"/>
        <w:rPr>
          <w:rFonts w:hint="default"/>
          <w:sz w:val="22"/>
        </w:rPr>
      </w:pPr>
      <w:r>
        <w:rPr>
          <w:rFonts w:hint="eastAsia" w:asciiTheme="minorEastAsia" w:hAnsiTheme="minorEastAsia" w:eastAsiaTheme="minorEastAsia"/>
          <w:sz w:val="22"/>
        </w:rPr>
        <w:t>（３）</w:t>
      </w:r>
      <w:r>
        <w:rPr>
          <w:rFonts w:hint="eastAsia" w:ascii="ＭＳ 明朝" w:hAnsi="ＭＳ 明朝" w:eastAsia="ＭＳ 明朝"/>
          <w:sz w:val="22"/>
        </w:rPr>
        <w:t>その他入札執行者が入札参加資格確認のため必要と認めた書類　　　　１部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（４</w:t>
      </w:r>
      <w:bookmarkStart w:id="0" w:name="_GoBack"/>
      <w:bookmarkEnd w:id="0"/>
      <w:r>
        <w:rPr>
          <w:rFonts w:hint="eastAsia" w:ascii="ＭＳ 明朝" w:hAnsi="ＭＳ 明朝" w:eastAsia="ＭＳ 明朝"/>
          <w:sz w:val="22"/>
        </w:rPr>
        <w:t>）委任状（代表者以外の者が，上記の書類を提出する場合）　　　　　　１部</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８　内訳書の提出</w:t>
      </w:r>
    </w:p>
    <w:p>
      <w:pPr>
        <w:pStyle w:val="0"/>
        <w:kinsoku w:val="0"/>
        <w:wordWrap w:val="0"/>
        <w:spacing w:line="358" w:lineRule="exact"/>
        <w:ind w:left="231" w:leftChars="105" w:firstLine="230" w:firstLineChars="100"/>
        <w:rPr>
          <w:rFonts w:hint="default" w:ascii="ＭＳ 明朝" w:hAnsi="ＭＳ 明朝" w:eastAsia="ＭＳ 明朝"/>
          <w:sz w:val="22"/>
        </w:rPr>
      </w:pPr>
      <w:r>
        <w:rPr>
          <w:rFonts w:hint="eastAsia" w:ascii="ＭＳ 明朝" w:hAnsi="ＭＳ 明朝" w:eastAsia="ＭＳ 明朝"/>
          <w:sz w:val="22"/>
        </w:rPr>
        <w:t>入札書に記載されている入札金額に対応した積算内訳書の提出を求める。</w:t>
      </w:r>
    </w:p>
    <w:p>
      <w:pPr>
        <w:pStyle w:val="0"/>
        <w:kinsoku w:val="0"/>
        <w:wordWrap w:val="0"/>
        <w:spacing w:line="358" w:lineRule="exact"/>
        <w:ind w:firstLine="460" w:firstLineChars="200"/>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９　その他</w:t>
      </w:r>
    </w:p>
    <w:p>
      <w:pPr>
        <w:pStyle w:val="0"/>
        <w:kinsoku w:val="0"/>
        <w:wordWrap w:val="0"/>
        <w:spacing w:line="358" w:lineRule="exact"/>
        <w:ind w:firstLine="460" w:firstLineChars="200"/>
        <w:rPr>
          <w:rFonts w:hint="default"/>
          <w:sz w:val="22"/>
        </w:rPr>
      </w:pPr>
      <w:r>
        <w:rPr>
          <w:rFonts w:hint="eastAsia" w:ascii="ＭＳ 明朝" w:hAnsi="ＭＳ 明朝" w:eastAsia="ＭＳ 明朝"/>
          <w:sz w:val="22"/>
        </w:rPr>
        <w:t>別紙条件付一般競争入札（事後審査型）公告共通事項に示すとおりとする。</w:t>
      </w:r>
    </w:p>
    <w:p>
      <w:pPr>
        <w:pStyle w:val="0"/>
        <w:kinsoku w:val="0"/>
        <w:spacing w:line="358" w:lineRule="exact"/>
        <w:jc w:val="center"/>
        <w:rPr>
          <w:rFonts w:hint="default" w:ascii="ＭＳ 明朝" w:hAnsi="ＭＳ 明朝" w:eastAsia="ＭＳ 明朝"/>
          <w:b w:val="1"/>
          <w:sz w:val="22"/>
        </w:rPr>
      </w:pPr>
      <w:r>
        <w:rPr>
          <w:rFonts w:hint="eastAsia"/>
          <w:sz w:val="22"/>
        </w:rPr>
        <w:br w:type="page"/>
      </w:r>
      <w:r>
        <w:rPr>
          <w:rFonts w:hint="eastAsia" w:ascii="ＭＳ 明朝" w:hAnsi="ＭＳ 明朝" w:eastAsia="ＭＳ 明朝"/>
          <w:b w:val="1"/>
          <w:sz w:val="22"/>
        </w:rPr>
        <w:t>条件付一般競争入札（事後審査型）公告共通事項</w:t>
      </w:r>
      <w:r>
        <w:rPr>
          <w:rFonts w:hint="eastAsia" w:ascii="ＭＳ 明朝" w:hAnsi="ＭＳ 明朝" w:eastAsia="ＭＳ 明朝"/>
          <w:b w:val="1"/>
          <w:sz w:val="22"/>
        </w:rPr>
        <w:t xml:space="preserve"> </w:t>
      </w:r>
    </w:p>
    <w:p>
      <w:pPr>
        <w:pStyle w:val="0"/>
        <w:kinsoku w:val="0"/>
        <w:wordWrap w:val="0"/>
        <w:spacing w:line="358" w:lineRule="exact"/>
        <w:jc w:val="center"/>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入札に参加できる者に必要な資格に関する事項</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（１）大崎市の指名停止を受けている期間中でないこと。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（２）地方自治法施行令第１６７条の４第１項及び第２項各号の規定に該当しないこと。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（３）この入札において同一の代表者による参加は認めない。</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　入札手続等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（１）入札参加申請</w:t>
      </w:r>
    </w:p>
    <w:p>
      <w:pPr>
        <w:pStyle w:val="0"/>
        <w:kinsoku w:val="0"/>
        <w:wordWrap w:val="0"/>
        <w:spacing w:line="358" w:lineRule="exact"/>
        <w:ind w:firstLine="690" w:firstLineChars="300"/>
        <w:rPr>
          <w:rFonts w:hint="default" w:ascii="ＭＳ 明朝" w:hAnsi="ＭＳ 明朝" w:eastAsia="ＭＳ 明朝"/>
          <w:sz w:val="22"/>
        </w:rPr>
      </w:pPr>
      <w:r>
        <w:rPr>
          <w:rFonts w:hint="eastAsia" w:ascii="ＭＳ 明朝" w:hAnsi="ＭＳ 明朝" w:eastAsia="ＭＳ 明朝"/>
          <w:sz w:val="22"/>
        </w:rPr>
        <w:t>この入札に参加するための事前の入札参加申請手続きは要しない。</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（２）注文書等の閲覧</w:t>
      </w:r>
    </w:p>
    <w:p>
      <w:pPr>
        <w:pStyle w:val="0"/>
        <w:kinsoku w:val="0"/>
        <w:wordWrap w:val="0"/>
        <w:spacing w:line="358" w:lineRule="exact"/>
        <w:ind w:left="451" w:leftChars="205" w:firstLine="230" w:firstLineChars="100"/>
        <w:rPr>
          <w:rFonts w:hint="default" w:ascii="ＭＳ 明朝" w:hAnsi="ＭＳ 明朝" w:eastAsia="ＭＳ 明朝"/>
          <w:sz w:val="22"/>
        </w:rPr>
      </w:pPr>
      <w:r>
        <w:rPr>
          <w:rFonts w:hint="eastAsia" w:ascii="ＭＳ 明朝" w:hAnsi="ＭＳ 明朝" w:eastAsia="ＭＳ 明朝"/>
          <w:sz w:val="22"/>
        </w:rPr>
        <w:t>当該業務に係る仕様書及び契約条項</w:t>
      </w:r>
      <w:r>
        <w:rPr>
          <w:rFonts w:hint="eastAsia" w:ascii="ＭＳ 明朝" w:hAnsi="ＭＳ 明朝" w:eastAsia="ＭＳ 明朝"/>
          <w:sz w:val="22"/>
        </w:rPr>
        <w:t xml:space="preserve"> (</w:t>
      </w:r>
      <w:r>
        <w:rPr>
          <w:rFonts w:hint="eastAsia" w:ascii="ＭＳ 明朝" w:hAnsi="ＭＳ 明朝" w:eastAsia="ＭＳ 明朝"/>
          <w:sz w:val="22"/>
        </w:rPr>
        <w:t>大崎市公式ウェブサイト内に別途掲載</w:t>
      </w:r>
      <w:r>
        <w:rPr>
          <w:rFonts w:hint="eastAsia" w:ascii="ＭＳ 明朝" w:hAnsi="ＭＳ 明朝" w:eastAsia="ＭＳ 明朝"/>
          <w:sz w:val="22"/>
        </w:rPr>
        <w:t>)(</w:t>
      </w:r>
      <w:r>
        <w:rPr>
          <w:rFonts w:hint="eastAsia" w:ascii="ＭＳ 明朝" w:hAnsi="ＭＳ 明朝" w:eastAsia="ＭＳ 明朝"/>
          <w:sz w:val="22"/>
        </w:rPr>
        <w:t>以下｢注文書等｣という。</w:t>
      </w:r>
      <w:r>
        <w:rPr>
          <w:rFonts w:hint="eastAsia" w:ascii="ＭＳ 明朝" w:hAnsi="ＭＳ 明朝" w:eastAsia="ＭＳ 明朝"/>
          <w:sz w:val="22"/>
        </w:rPr>
        <w:t>)</w:t>
      </w:r>
      <w:r>
        <w:rPr>
          <w:rFonts w:hint="eastAsia" w:ascii="ＭＳ 明朝" w:hAnsi="ＭＳ 明朝" w:eastAsia="ＭＳ 明朝"/>
          <w:sz w:val="22"/>
        </w:rPr>
        <w:t>を閲覧に供する。</w:t>
      </w:r>
      <w:r>
        <w:rPr>
          <w:rFonts w:hint="eastAsia" w:ascii="ＭＳ 明朝" w:hAnsi="ＭＳ 明朝" w:eastAsia="ＭＳ 明朝"/>
          <w:sz w:val="22"/>
        </w:rPr>
        <w:t>(</w:t>
      </w:r>
      <w:r>
        <w:rPr>
          <w:rFonts w:hint="eastAsia" w:ascii="ＭＳ 明朝" w:hAnsi="ＭＳ 明朝" w:eastAsia="ＭＳ 明朝"/>
          <w:sz w:val="22"/>
        </w:rPr>
        <w:t>ただし，土曜日，日曜日，国民の祝日に関する法律（昭和２３年法律第１７８号）に規定する休日（以下「休日等」という。）を除く。</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閲覧の期間及び場所は，入札公告に示すとおりとする。</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イ　注文書等に対する質問について</w:t>
      </w:r>
    </w:p>
    <w:p>
      <w:pPr>
        <w:pStyle w:val="0"/>
        <w:kinsoku w:val="0"/>
        <w:wordWrap w:val="0"/>
        <w:spacing w:line="358" w:lineRule="exact"/>
        <w:ind w:left="900" w:leftChars="200" w:hanging="460" w:hangingChars="200"/>
        <w:rPr>
          <w:rFonts w:hint="default" w:ascii="ＭＳ 明朝" w:hAnsi="ＭＳ 明朝" w:eastAsia="ＭＳ 明朝"/>
          <w:sz w:val="22"/>
        </w:rPr>
      </w:pPr>
      <w:r>
        <w:rPr>
          <w:rFonts w:hint="eastAsia" w:ascii="ＭＳ 明朝" w:hAnsi="ＭＳ 明朝" w:eastAsia="ＭＳ 明朝"/>
          <w:sz w:val="22"/>
        </w:rPr>
        <w:t>（ア）設計図書等について質問がある場合は，「様式第７号</w:t>
      </w:r>
      <w:r>
        <w:rPr>
          <w:rFonts w:hint="eastAsia" w:ascii="ＭＳ 明朝" w:hAnsi="ＭＳ 明朝" w:eastAsia="ＭＳ 明朝"/>
          <w:sz w:val="22"/>
        </w:rPr>
        <w:t>(</w:t>
      </w:r>
      <w:r>
        <w:rPr>
          <w:rFonts w:hint="eastAsia" w:ascii="ＭＳ 明朝" w:hAnsi="ＭＳ 明朝" w:eastAsia="ＭＳ 明朝"/>
          <w:sz w:val="22"/>
        </w:rPr>
        <w:t>第１２条関係</w:t>
      </w:r>
      <w:r>
        <w:rPr>
          <w:rFonts w:hint="eastAsia" w:ascii="ＭＳ 明朝" w:hAnsi="ＭＳ 明朝" w:eastAsia="ＭＳ 明朝"/>
          <w:sz w:val="22"/>
        </w:rPr>
        <w:t>)</w:t>
      </w:r>
      <w:r>
        <w:rPr>
          <w:rFonts w:hint="eastAsia" w:ascii="ＭＳ 明朝" w:hAnsi="ＭＳ 明朝" w:eastAsia="ＭＳ 明朝"/>
          <w:sz w:val="22"/>
        </w:rPr>
        <w:t>」にある質問書に記入の上，指定の場所に提出することができる。</w:t>
      </w:r>
    </w:p>
    <w:p>
      <w:pPr>
        <w:pStyle w:val="0"/>
        <w:kinsoku w:val="0"/>
        <w:wordWrap w:val="0"/>
        <w:spacing w:line="358" w:lineRule="exact"/>
        <w:ind w:left="900" w:leftChars="200" w:hanging="460" w:hangingChars="200"/>
        <w:rPr>
          <w:rFonts w:hint="default" w:ascii="ＭＳ 明朝" w:hAnsi="ＭＳ 明朝" w:eastAsia="ＭＳ 明朝"/>
          <w:sz w:val="22"/>
        </w:rPr>
      </w:pPr>
      <w:r>
        <w:rPr>
          <w:rFonts w:hint="eastAsia" w:ascii="ＭＳ 明朝" w:hAnsi="ＭＳ 明朝" w:eastAsia="ＭＳ 明朝"/>
          <w:sz w:val="22"/>
        </w:rPr>
        <w:t>（イ）質問書に対する回答書は，入札公告に示す期間及び場所で閲覧に供する。</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（３）入札方式並びに開札の日時及び場所等</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初度の入札は郵送（</w:t>
      </w:r>
      <w:r>
        <w:rPr>
          <w:rFonts w:hint="eastAsia" w:ascii="ＭＳ 明朝" w:hAnsi="ＭＳ 明朝" w:eastAsia="ＭＳ 明朝"/>
          <w:b w:val="1"/>
          <w:sz w:val="22"/>
          <w:u w:val="double" w:color="auto"/>
        </w:rPr>
        <w:t>配達証明付郵便に限る。</w:t>
      </w:r>
      <w:r>
        <w:rPr>
          <w:rFonts w:hint="eastAsia" w:ascii="ＭＳ 明朝" w:hAnsi="ＭＳ 明朝" w:eastAsia="ＭＳ 明朝"/>
          <w:sz w:val="22"/>
        </w:rPr>
        <w:t>）による入札とし，開札の日時及び場所は，入札公告に示すとおりとする。</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（４）入札参加資格の確認</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入札参加資格の確認は，開札後に落札者とするため確認の必要がある者について行う。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　入札方法等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（１）入札書の提出</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初度の入札書の提出期限及び提出先は，入札公告に示すとおりとする。</w:t>
      </w:r>
    </w:p>
    <w:p>
      <w:pPr>
        <w:pStyle w:val="0"/>
        <w:kinsoku w:val="0"/>
        <w:wordWrap w:val="0"/>
        <w:spacing w:line="358" w:lineRule="exact"/>
        <w:ind w:left="692" w:leftChars="210" w:hanging="230" w:hangingChars="100"/>
        <w:rPr>
          <w:rFonts w:hint="default" w:ascii="ＭＳ 明朝" w:hAnsi="ＭＳ 明朝" w:eastAsia="ＭＳ 明朝"/>
          <w:sz w:val="22"/>
        </w:rPr>
      </w:pPr>
      <w:r>
        <w:rPr>
          <w:rFonts w:hint="eastAsia" w:ascii="ＭＳ 明朝" w:hAnsi="ＭＳ 明朝" w:eastAsia="ＭＳ 明朝"/>
          <w:sz w:val="22"/>
        </w:rPr>
        <w:t>イ　初度の入札書の提出は，配達証明付郵便により提出期限までに入札公告に示す入札書郵送先に到達しなければならない。</w:t>
      </w:r>
    </w:p>
    <w:p>
      <w:pPr>
        <w:pStyle w:val="0"/>
        <w:kinsoku w:val="0"/>
        <w:wordWrap w:val="0"/>
        <w:spacing w:line="358" w:lineRule="exact"/>
        <w:ind w:left="692" w:leftChars="210" w:hanging="230" w:hangingChars="100"/>
        <w:rPr>
          <w:rFonts w:hint="default" w:ascii="ＭＳ 明朝" w:hAnsi="ＭＳ 明朝" w:eastAsia="ＭＳ 明朝"/>
          <w:sz w:val="22"/>
        </w:rPr>
      </w:pPr>
      <w:r>
        <w:rPr>
          <w:rFonts w:hint="eastAsia" w:ascii="ＭＳ 明朝" w:hAnsi="ＭＳ 明朝" w:eastAsia="ＭＳ 明朝"/>
          <w:sz w:val="22"/>
        </w:rPr>
        <w:t>ウ　入札書の郵送は，二重封筒とし，入札書及び積算内訳書を中封筒に入れ，封かんの上，入札者の名称及び競争入札参加登録番号，入札に係る件名及び契約番号並びに開札日を表記し，外封筒には入札書及び積算内訳書を同封した中封筒，競争入札参加登録通知書の写し及び連絡担当者の名刺１枚を入れ，表に競争入札参加登録番号，入札に係る件名，契約番号，開札日及び入札書在中の旨を朱書きすること。</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エ　一つの外封筒に二つ以上の入札書を同封してはならない。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オ　持参，電報，ファクシミリ，その他電気通信による入札書の提出は認めない。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カ　提出期限が過ぎて到着した入札書は，いかなる事由があっても受理しない。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キ　既に提出した入札書の訂正及び差し替え並びに再提出は認めない。</w:t>
      </w:r>
    </w:p>
    <w:p>
      <w:pPr>
        <w:pStyle w:val="0"/>
        <w:kinsoku w:val="0"/>
        <w:wordWrap w:val="0"/>
        <w:spacing w:line="358" w:lineRule="exact"/>
        <w:ind w:left="920" w:leftChars="200" w:hanging="480" w:hangingChars="200"/>
        <w:rPr>
          <w:rFonts w:hint="eastAsia" w:ascii="ＭＳ 明朝" w:hAnsi="ＭＳ 明朝" w:eastAsia="ＭＳ 明朝"/>
          <w:b w:val="1"/>
          <w:sz w:val="22"/>
          <w:u w:val="single" w:color="auto"/>
        </w:rPr>
      </w:pPr>
      <w:r>
        <w:rPr>
          <w:rFonts w:hint="eastAsia" w:ascii="ＭＳ 明朝" w:hAnsi="ＭＳ 明朝" w:eastAsia="ＭＳ 明朝"/>
          <w:b w:val="1"/>
          <w:sz w:val="22"/>
          <w:u w:val="single" w:color="auto"/>
        </w:rPr>
        <w:t>ク　初度の入札は代表者（受任機関の場合は受任者）の氏名及び代表者印（または届出印）をもって行うものとし，代理人のみの記名押印によるものは無効とする。</w:t>
      </w:r>
    </w:p>
    <w:p>
      <w:pPr>
        <w:pStyle w:val="0"/>
        <w:kinsoku w:val="0"/>
        <w:wordWrap w:val="0"/>
        <w:spacing w:line="358" w:lineRule="exact"/>
        <w:ind w:firstLine="960" w:firstLineChars="400"/>
        <w:rPr>
          <w:rFonts w:hint="default" w:ascii="ＭＳ 明朝" w:hAnsi="ＭＳ 明朝" w:eastAsia="ＭＳ 明朝"/>
          <w:b w:val="1"/>
          <w:sz w:val="22"/>
          <w:u w:val="single" w:color="auto"/>
        </w:rPr>
      </w:pPr>
      <w:r>
        <w:rPr>
          <w:rFonts w:hint="eastAsia" w:ascii="ＭＳ 明朝" w:hAnsi="ＭＳ 明朝" w:eastAsia="ＭＳ 明朝"/>
          <w:b w:val="1"/>
          <w:sz w:val="22"/>
          <w:u w:val="single" w:color="auto"/>
        </w:rPr>
        <w:t>※入札書記載例参照</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（４）抽選により選定し開札する入札書の数は，入札執行者が抽選の際に示す。</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落札者の決定に当たっては，入札書に記載された金額に当該金額の１００分の１０に相当する額を加算した金額（当該金額に１円未満の端数があるときは，その端数金額を切り捨てた金額）をもって落札価格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（６）最低制限価格を設定した場合において，最低制限価格を下回る入札をした者は失格となり，再度入札に参加できない。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（７）入札執行回数は，再度入札を含めて３回を限度とする。</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４　再度入札の方法</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（１）再度入札は，初度の入札において，予定価格の範囲内の価格で，かつ最低制限価格以上の価格での入札がない場合に，２回を限度とし，実施するものとする。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（４）再度入札に参加する者は，次の書類を持参して立ち合うものとする。</w:t>
      </w:r>
    </w:p>
    <w:p>
      <w:pPr>
        <w:pStyle w:val="0"/>
        <w:kinsoku w:val="0"/>
        <w:wordWrap w:val="0"/>
        <w:spacing w:line="358" w:lineRule="exact"/>
        <w:ind w:left="450" w:leftChars="100" w:hanging="230" w:hangingChars="100"/>
        <w:rPr>
          <w:rFonts w:hint="default" w:ascii="ＭＳ 明朝" w:hAnsi="ＭＳ 明朝" w:eastAsia="ＭＳ 明朝"/>
          <w:sz w:val="22"/>
        </w:rPr>
      </w:pPr>
      <w:r>
        <w:rPr>
          <w:rFonts w:hint="eastAsia" w:ascii="ＭＳ 明朝" w:hAnsi="ＭＳ 明朝" w:eastAsia="ＭＳ 明朝"/>
          <w:sz w:val="22"/>
        </w:rPr>
        <w:t>　ア　入札書</w:t>
      </w:r>
    </w:p>
    <w:p>
      <w:pPr>
        <w:pStyle w:val="0"/>
        <w:kinsoku w:val="0"/>
        <w:wordWrap w:val="0"/>
        <w:spacing w:line="358" w:lineRule="exact"/>
        <w:ind w:left="451" w:leftChars="205"/>
        <w:rPr>
          <w:rFonts w:hint="default" w:ascii="ＭＳ 明朝" w:hAnsi="ＭＳ 明朝" w:eastAsia="ＭＳ 明朝"/>
          <w:sz w:val="22"/>
        </w:rPr>
      </w:pPr>
      <w:r>
        <w:rPr>
          <w:rFonts w:hint="eastAsia" w:ascii="ＭＳ 明朝" w:hAnsi="ＭＳ 明朝" w:eastAsia="ＭＳ 明朝"/>
          <w:sz w:val="22"/>
        </w:rPr>
        <w:t>イ　名刺（代表者の場合）又は委任状（代理人の場合）　</w:t>
      </w:r>
    </w:p>
    <w:p>
      <w:pPr>
        <w:pStyle w:val="0"/>
        <w:kinsoku w:val="0"/>
        <w:wordWrap w:val="0"/>
        <w:spacing w:line="358" w:lineRule="exact"/>
        <w:ind w:left="451" w:leftChars="205"/>
        <w:rPr>
          <w:rFonts w:hint="default" w:ascii="ＭＳ 明朝" w:hAnsi="ＭＳ 明朝" w:eastAsia="ＭＳ 明朝"/>
          <w:sz w:val="22"/>
        </w:rPr>
      </w:pPr>
      <w:r>
        <w:rPr>
          <w:rFonts w:hint="eastAsia" w:ascii="ＭＳ 明朝" w:hAnsi="ＭＳ 明朝" w:eastAsia="ＭＳ 明朝"/>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（５）再度入札において，なお落札候補者がいない場合は，最低価格入札者と随意契約の協議を行う場合がある。</w:t>
      </w:r>
      <w:r>
        <w:rPr>
          <w:rFonts w:hint="eastAsia" w:ascii="ＭＳ 明朝" w:hAnsi="ＭＳ 明朝" w:eastAsia="ＭＳ 明朝"/>
          <w:sz w:val="22"/>
        </w:rPr>
        <w:t>(</w:t>
      </w:r>
      <w:r>
        <w:rPr>
          <w:rFonts w:hint="eastAsia" w:ascii="ＭＳ 明朝" w:hAnsi="ＭＳ 明朝" w:eastAsia="ＭＳ 明朝"/>
          <w:sz w:val="22"/>
        </w:rPr>
        <w:t>その場合は，見積書の提出を求める。</w:t>
      </w:r>
      <w:r>
        <w:rPr>
          <w:rFonts w:hint="eastAsia" w:ascii="ＭＳ 明朝" w:hAnsi="ＭＳ 明朝" w:eastAsia="ＭＳ 明朝"/>
          <w:sz w:val="22"/>
        </w:rPr>
        <w:t>)</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５　落札候補者の指定</w:t>
      </w:r>
    </w:p>
    <w:p>
      <w:pPr>
        <w:pStyle w:val="0"/>
        <w:kinsoku w:val="0"/>
        <w:wordWrap w:val="0"/>
        <w:spacing w:line="358" w:lineRule="exact"/>
        <w:ind w:left="231" w:leftChars="105" w:firstLine="230" w:firstLineChars="100"/>
        <w:rPr>
          <w:rFonts w:hint="default" w:ascii="ＭＳ 明朝" w:hAnsi="ＭＳ 明朝" w:eastAsia="ＭＳ 明朝"/>
          <w:sz w:val="22"/>
        </w:rPr>
      </w:pPr>
      <w:r>
        <w:rPr>
          <w:rFonts w:hint="eastAsia" w:ascii="ＭＳ 明朝" w:hAnsi="ＭＳ 明朝" w:eastAsia="ＭＳ 明朝"/>
          <w:sz w:val="22"/>
        </w:rPr>
        <w:t>大崎市契約規則に基づいて最低制限価格を設けたときは，予定価格の範囲内の価格で最低制限価格以上の価格をもって入札した者のうち，最低の価格で入札したものを落札候補者として指定する。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６　入札参加資格の確認等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（１）入札参加資格確認手続</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の確認を受けた者を除き，他の入札参加者の入札参加資格確認は行わない。</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（２）入札参加資格確認書類の提出方法，提出期限及び提出場所</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提出方法</w:t>
      </w:r>
    </w:p>
    <w:p>
      <w:pPr>
        <w:pStyle w:val="0"/>
        <w:kinsoku w:val="0"/>
        <w:wordWrap w:val="0"/>
        <w:spacing w:line="358" w:lineRule="exact"/>
        <w:ind w:firstLine="920" w:firstLineChars="400"/>
        <w:rPr>
          <w:rFonts w:hint="default" w:ascii="ＭＳ 明朝" w:hAnsi="ＭＳ 明朝" w:eastAsia="ＭＳ 明朝"/>
          <w:sz w:val="22"/>
        </w:rPr>
      </w:pPr>
      <w:r>
        <w:rPr>
          <w:rFonts w:hint="eastAsia" w:ascii="ＭＳ 明朝" w:hAnsi="ＭＳ 明朝" w:eastAsia="ＭＳ 明朝"/>
          <w:sz w:val="22"/>
        </w:rPr>
        <w:t>入札公告に示す入札担当課へ持参すること。</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イ　提出期限</w:t>
      </w:r>
    </w:p>
    <w:p>
      <w:pPr>
        <w:pStyle w:val="0"/>
        <w:kinsoku w:val="0"/>
        <w:wordWrap w:val="0"/>
        <w:spacing w:line="358" w:lineRule="exact"/>
        <w:ind w:left="693" w:leftChars="315" w:firstLine="230" w:firstLineChars="100"/>
        <w:rPr>
          <w:rFonts w:hint="default" w:ascii="ＭＳ 明朝" w:hAnsi="ＭＳ 明朝" w:eastAsia="ＭＳ 明朝"/>
          <w:sz w:val="22"/>
        </w:rPr>
      </w:pPr>
      <w:r>
        <w:rPr>
          <w:rFonts w:hint="eastAsia" w:ascii="ＭＳ 明朝" w:hAnsi="ＭＳ 明朝" w:eastAsia="ＭＳ 明朝"/>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入札参加資格の確認に基づく落札の可否については，入札参加確認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（５）（４）の説明を求める場合は，その旨を記載した書面を入札公告に示す入札担当課に提出すること。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６）落札候補者が提出期限内に（１）に定める入札参加資格確認のため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７　入札の無効等</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（１）大崎市入札契約事務取扱要綱第２１条各号のいずれかに該当する入札は，無効とする。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８　その他</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（１）入札参加者は，大崎市契約規則及び大崎市入札契約事務取扱要綱を遵守しなければならない。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（２）その他不明な点については，大崎市総務部財政課入札契約担当（電話</w:t>
      </w:r>
      <w:r>
        <w:rPr>
          <w:rFonts w:hint="default" w:ascii="ＭＳ 明朝" w:hAnsi="ＭＳ 明朝" w:eastAsia="ＭＳ 明朝"/>
          <w:sz w:val="22"/>
        </w:rPr>
        <w:t>0229-23-</w:t>
      </w:r>
      <w:r>
        <w:rPr>
          <w:rFonts w:hint="eastAsia" w:ascii="ＭＳ 明朝" w:hAnsi="ＭＳ 明朝" w:eastAsia="ＭＳ 明朝"/>
          <w:sz w:val="22"/>
        </w:rPr>
        <w:t>5177</w:t>
      </w:r>
      <w:r>
        <w:rPr>
          <w:rFonts w:hint="eastAsia" w:ascii="ＭＳ 明朝" w:hAnsi="ＭＳ 明朝" w:eastAsia="ＭＳ 明朝"/>
          <w:sz w:val="22"/>
        </w:rPr>
        <w:t>）に照会すること。</w:t>
      </w:r>
    </w:p>
    <w:p>
      <w:pPr>
        <w:pStyle w:val="0"/>
        <w:kinsoku w:val="0"/>
        <w:wordWrap w:val="0"/>
        <w:spacing w:line="358" w:lineRule="exact"/>
        <w:jc w:val="right"/>
        <w:rPr>
          <w:rFonts w:hint="default" w:ascii="ＭＳ 明朝" w:hAnsi="ＭＳ 明朝" w:eastAsia="ＭＳ 明朝"/>
          <w:sz w:val="21"/>
        </w:rPr>
      </w:pPr>
    </w:p>
    <w:p>
      <w:pPr>
        <w:pStyle w:val="0"/>
        <w:rPr>
          <w:rFonts w:hint="default"/>
          <w:b w:val="1"/>
          <w:color w:val="FF0000"/>
          <w:sz w:val="24"/>
        </w:rPr>
      </w:pPr>
      <w:r>
        <w:rPr>
          <w:rFonts w:hint="default"/>
        </w:rPr>
        <w:br w:type="page"/>
      </w:r>
      <w:r>
        <w:rPr>
          <w:rFonts w:hint="eastAsia"/>
          <w:b w:val="1"/>
          <w:color w:val="FF0000"/>
          <w:sz w:val="24"/>
        </w:rPr>
        <w:t>【初度の入札書記載例】</w:t>
      </w:r>
    </w:p>
    <w:p>
      <w:pPr>
        <w:pStyle w:val="0"/>
        <w:jc w:val="right"/>
        <w:rPr>
          <w:rFonts w:hint="default" w:ascii="ＭＳ 明朝" w:hAnsi="ＭＳ 明朝" w:eastAsia="ＭＳ 明朝"/>
          <w:sz w:val="24"/>
        </w:rPr>
      </w:pPr>
      <w:r>
        <w:rPr>
          <w:rFonts w:hint="default"/>
        </w:rPr>
        <mc:AlternateContent>
          <mc:Choice Requires="wps">
            <w:drawing>
              <wp:anchor distT="0" distB="0" distL="114299" distR="114299" simplePos="0" relativeHeight="8" behindDoc="0" locked="0" layoutInCell="1" hidden="0" allowOverlap="1">
                <wp:simplePos x="0" y="0"/>
                <wp:positionH relativeFrom="column">
                  <wp:posOffset>4672330</wp:posOffset>
                </wp:positionH>
                <wp:positionV relativeFrom="paragraph">
                  <wp:posOffset>257175</wp:posOffset>
                </wp:positionV>
                <wp:extent cx="0" cy="606425"/>
                <wp:effectExtent l="36195" t="0" r="65405" b="10160"/>
                <wp:wrapNone/>
                <wp:docPr id="1026" name="Line 50"/>
                <a:graphic xmlns:a="http://schemas.openxmlformats.org/drawingml/2006/main">
                  <a:graphicData uri="http://schemas.microsoft.com/office/word/2010/wordprocessingShape">
                    <wps:wsp>
                      <wps:cNvPr id="1026" name="Line 50"/>
                      <wps:cNvSpPr>
                        <a:spLocks noChangeShapeType="1"/>
                      </wps:cNvSpPr>
                      <wps:spPr>
                        <a:xfrm>
                          <a:off x="0" y="0"/>
                          <a:ext cx="0" cy="606425"/>
                        </a:xfrm>
                        <a:prstGeom prst="line">
                          <a:avLst/>
                        </a:prstGeom>
                        <a:noFill/>
                        <a:ln w="9525">
                          <a:solidFill>
                            <a:srgbClr val="000000"/>
                          </a:solidFill>
                          <a:round/>
                          <a:headEnd/>
                          <a:tailEnd type="triangle" w="med" len="med"/>
                        </a:ln>
                      </wps:spPr>
                      <wps:bodyPr/>
                    </wps:wsp>
                  </a:graphicData>
                </a:graphic>
              </wp:anchor>
            </w:drawing>
          </mc:Choice>
          <mc:Fallback>
            <w:pict>
              <v:line id="Line 50" style="mso-wrap-distance-top:0pt;mso-wrap-distance-right:8.94pt;mso-wrap-distance-bottom:0pt;mso-position-vertical-relative:text;mso-position-horizontal-relative:text;position:absolute;mso-wrap-distance-left:8.94pt;z-index:8;" o:spid="_x0000_s1026" o:allowincell="t" o:allowoverlap="t" filled="f" stroked="t" strokecolor="#000000" strokeweight="0.75pt" o:spt="20" from="367.9pt,20.25pt" to="367.9pt,68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ＭＳ 明朝" w:hAnsi="ＭＳ 明朝" w:eastAsia="ＭＳ 明朝"/>
          <w:sz w:val="24"/>
        </w:rPr>
        <w:t>開札日を記載すること。積算内訳書の日付についても同様とする。</w:t>
      </w:r>
    </w:p>
    <w:p>
      <w:pPr>
        <w:pStyle w:val="0"/>
        <w:jc w:val="right"/>
        <w:rPr>
          <w:rFonts w:hint="default" w:ascii="ＭＳ 明朝" w:hAnsi="ＭＳ 明朝" w:eastAsia="ＭＳ 明朝"/>
          <w:sz w:val="24"/>
        </w:rPr>
      </w:pP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86"/>
        <w:gridCol w:w="608"/>
        <w:gridCol w:w="608"/>
        <w:gridCol w:w="608"/>
        <w:gridCol w:w="608"/>
        <w:gridCol w:w="608"/>
        <w:gridCol w:w="608"/>
        <w:gridCol w:w="608"/>
        <w:gridCol w:w="608"/>
        <w:gridCol w:w="609"/>
        <w:gridCol w:w="980"/>
      </w:tblGrid>
      <w:tr>
        <w:trPr>
          <w:trHeight w:val="6955" w:hRule="atLeast"/>
        </w:trPr>
        <w:tc>
          <w:tcPr>
            <w:tcW w:w="8539" w:type="dxa"/>
            <w:gridSpan w:val="11"/>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pacing w:val="210"/>
                <w:sz w:val="21"/>
              </w:rPr>
              <w:t>入札</w:t>
            </w:r>
            <w:r>
              <w:rPr>
                <w:rFonts w:hint="eastAsia" w:ascii="ＭＳ 明朝" w:hAnsi="ＭＳ 明朝" w:eastAsia="ＭＳ 明朝"/>
                <w:sz w:val="21"/>
              </w:rPr>
              <w:t>書</w:t>
            </w:r>
          </w:p>
          <w:p>
            <w:pPr>
              <w:pStyle w:val="0"/>
              <w:jc w:val="right"/>
              <w:rPr>
                <w:rFonts w:hint="default" w:ascii="ＭＳ 明朝" w:hAnsi="ＭＳ 明朝" w:eastAsia="ＭＳ 明朝"/>
                <w:sz w:val="21"/>
              </w:rPr>
            </w:pPr>
            <w:r>
              <w:rPr>
                <w:rFonts w:hint="eastAsia" w:ascii="ＭＳ 明朝" w:hAnsi="ＭＳ 明朝" w:eastAsia="ＭＳ 明朝"/>
                <w:sz w:val="21"/>
              </w:rPr>
              <w:t>令和○○年　○月○○日</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大　崎　市　長　　　　　　　　　　　様</w:t>
            </w:r>
          </w:p>
          <w:p>
            <w:pPr>
              <w:pStyle w:val="0"/>
              <w:rPr>
                <w:rFonts w:hint="default" w:ascii="ＭＳ 明朝" w:hAnsi="ＭＳ 明朝" w:eastAsia="ＭＳ 明朝"/>
                <w:sz w:val="21"/>
              </w:rPr>
            </w:pPr>
            <w:r>
              <w:rPr>
                <w:rFonts w:hint="default"/>
              </w:rPr>
              <mc:AlternateContent>
                <mc:Choice Requires="wps">
                  <w:drawing>
                    <wp:anchor distT="0" distB="0" distL="114300" distR="114300" simplePos="0" relativeHeight="9" behindDoc="0" locked="0" layoutInCell="1" hidden="0" allowOverlap="1">
                      <wp:simplePos x="0" y="0"/>
                      <wp:positionH relativeFrom="column">
                        <wp:posOffset>2437130</wp:posOffset>
                      </wp:positionH>
                      <wp:positionV relativeFrom="paragraph">
                        <wp:posOffset>107315</wp:posOffset>
                      </wp:positionV>
                      <wp:extent cx="3305175" cy="1209675"/>
                      <wp:effectExtent l="635" t="635" r="29845" b="10795"/>
                      <wp:wrapNone/>
                      <wp:docPr id="1027" name="AutoShape 51"/>
                      <a:graphic xmlns:a="http://schemas.openxmlformats.org/drawingml/2006/main">
                        <a:graphicData uri="http://schemas.microsoft.com/office/word/2010/wordprocessingShape">
                          <wps:wsp>
                            <wps:cNvPr id="1027" name="AutoShape 51"/>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51" style="mso-wrap-distance-right:9pt;mso-wrap-distance-bottom:0pt;margin-top:8.44pt;mso-position-vertical-relative:text;mso-position-horizontal-relative:text;v-text-anchor:top;position:absolute;height:95.25pt;mso-wrap-distance-top:0pt;width:260.25pt;mso-wrap-distance-left:9pt;margin-left:191.9pt;z-index:9;"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ＭＳ 明朝" w:hAnsi="ＭＳ 明朝" w:eastAsia="ＭＳ 明朝"/>
                <w:sz w:val="21"/>
              </w:rPr>
            </w:pPr>
          </w:p>
          <w:p>
            <w:pPr>
              <w:pStyle w:val="0"/>
              <w:ind w:right="2440"/>
              <w:jc w:val="center"/>
              <w:rPr>
                <w:rFonts w:hint="default" w:ascii="ＭＳ 明朝" w:hAnsi="ＭＳ 明朝" w:eastAsia="ＭＳ 明朝"/>
                <w:sz w:val="21"/>
              </w:rPr>
            </w:pPr>
            <w:r>
              <w:rPr>
                <w:rFonts w:hint="eastAsia" w:ascii="ＭＳ 明朝" w:hAnsi="ＭＳ 明朝" w:eastAsia="ＭＳ 明朝"/>
                <w:spacing w:val="525"/>
                <w:sz w:val="21"/>
              </w:rPr>
              <w:t>住</w:t>
            </w:r>
            <w:r>
              <w:rPr>
                <w:rFonts w:hint="eastAsia" w:ascii="ＭＳ 明朝" w:hAnsi="ＭＳ 明朝" w:eastAsia="ＭＳ 明朝"/>
                <w:sz w:val="21"/>
              </w:rPr>
              <w:t>所</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20" w:firstLine="2310" w:firstLineChars="1050"/>
              <w:rPr>
                <w:rFonts w:hint="default" w:ascii="ＭＳ 明朝" w:hAnsi="ＭＳ 明朝" w:eastAsia="ＭＳ 明朝"/>
                <w:spacing w:val="20"/>
                <w:sz w:val="21"/>
              </w:rPr>
            </w:pPr>
          </w:p>
          <w:p>
            <w:pPr>
              <w:pStyle w:val="0"/>
              <w:ind w:right="420" w:firstLine="2310" w:firstLineChars="1050"/>
              <w:rPr>
                <w:rFonts w:hint="default" w:ascii="ＭＳ 明朝" w:hAnsi="ＭＳ 明朝" w:eastAsia="ＭＳ 明朝"/>
                <w:sz w:val="21"/>
              </w:rPr>
            </w:pPr>
            <w:r>
              <w:rPr>
                <w:rFonts w:hint="eastAsia" w:ascii="ＭＳ 明朝" w:hAnsi="ＭＳ 明朝" w:eastAsia="ＭＳ 明朝"/>
                <w:spacing w:val="20"/>
                <w:sz w:val="21"/>
              </w:rPr>
              <w:t>商号又は名</w:t>
            </w:r>
            <w:r>
              <w:rPr>
                <w:rFonts w:hint="eastAsia" w:ascii="ＭＳ 明朝" w:hAnsi="ＭＳ 明朝" w:eastAsia="ＭＳ 明朝"/>
                <w:sz w:val="21"/>
              </w:rPr>
              <w:t>称</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代表者役職氏名</w:t>
            </w:r>
            <w:r>
              <w:rPr>
                <w:rFonts w:hint="eastAsia" w:ascii="ＭＳ 明朝" w:hAnsi="ＭＳ 明朝" w:eastAsia="ＭＳ 明朝"/>
                <w:spacing w:val="26"/>
                <w:sz w:val="21"/>
              </w:rPr>
              <w:t>　</w:t>
            </w:r>
            <w:r>
              <w:rPr>
                <w:rFonts w:hint="eastAsia" w:ascii="ＭＳ 明朝" w:hAnsi="ＭＳ 明朝" w:eastAsia="ＭＳ 明朝"/>
                <w:sz w:val="21"/>
              </w:rPr>
              <w:t>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　</w:t>
            </w:r>
          </w:p>
          <w:p>
            <w:pPr>
              <w:pStyle w:val="0"/>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（代理人氏名</w:t>
            </w:r>
            <w:r>
              <w:rPr>
                <w:rFonts w:hint="eastAsia" w:ascii="ＭＳ 明朝" w:hAnsi="ＭＳ 明朝" w:eastAsia="ＭＳ 明朝"/>
                <w:sz w:val="21"/>
              </w:rPr>
              <w:t xml:space="preserve">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w:t>
            </w:r>
          </w:p>
          <w:p>
            <w:pPr>
              <w:pStyle w:val="0"/>
              <w:ind w:firstLine="2649" w:firstLineChars="1100"/>
              <w:rPr>
                <w:rFonts w:hint="default" w:ascii="ＭＳ 明朝" w:hAnsi="ＭＳ 明朝" w:eastAsia="ＭＳ 明朝"/>
                <w:b w:val="1"/>
                <w:color w:val="FF0000"/>
                <w:sz w:val="22"/>
              </w:rPr>
            </w:pPr>
            <w:r>
              <w:rPr>
                <w:rFonts w:hint="eastAsia" w:ascii="ＭＳ 明朝" w:hAnsi="ＭＳ 明朝" w:eastAsia="ＭＳ 明朝"/>
                <w:b w:val="1"/>
                <w:color w:val="FF0000"/>
                <w:sz w:val="22"/>
              </w:rPr>
              <w:t>＊</w:t>
            </w:r>
            <w:r>
              <w:rPr>
                <w:rFonts w:hint="eastAsia" w:ascii="ＭＳ 明朝" w:hAnsi="ＭＳ 明朝" w:eastAsia="ＭＳ 明朝"/>
                <w:b w:val="1"/>
                <w:color w:val="FF0000"/>
                <w:sz w:val="21"/>
              </w:rPr>
              <w:t>初度の入札を代理人で行った場合は無効とする</w:t>
            </w:r>
            <w:r>
              <w:rPr>
                <w:rFonts w:hint="eastAsia" w:ascii="ＭＳ 明朝" w:hAnsi="ＭＳ 明朝" w:eastAsia="ＭＳ 明朝"/>
                <w:b w:val="1"/>
                <w:color w:val="FF0000"/>
                <w:sz w:val="22"/>
              </w:rPr>
              <w:t>。</w:t>
            </w: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契約規則を守り，下記金額をもって履行</w:t>
            </w:r>
            <w:r>
              <w:rPr>
                <w:rFonts w:hint="eastAsia" w:ascii="ＭＳ 明朝" w:hAnsi="ＭＳ 明朝" w:eastAsia="ＭＳ 明朝"/>
                <w:sz w:val="21"/>
              </w:rPr>
              <w:t>(</w:t>
            </w:r>
            <w:r>
              <w:rPr>
                <w:rFonts w:hint="eastAsia" w:ascii="ＭＳ 明朝" w:hAnsi="ＭＳ 明朝" w:eastAsia="ＭＳ 明朝"/>
                <w:sz w:val="21"/>
              </w:rPr>
              <w:t>又は，受託</w:t>
            </w:r>
            <w:r>
              <w:rPr>
                <w:rFonts w:hint="eastAsia" w:ascii="ＭＳ 明朝" w:hAnsi="ＭＳ 明朝" w:eastAsia="ＭＳ 明朝"/>
                <w:sz w:val="21"/>
              </w:rPr>
              <w:t>)</w:t>
            </w:r>
            <w:r>
              <w:rPr>
                <w:rFonts w:hint="eastAsia" w:ascii="ＭＳ 明朝" w:hAnsi="ＭＳ 明朝" w:eastAsia="ＭＳ 明朝"/>
                <w:sz w:val="21"/>
              </w:rPr>
              <w:t>したいので入札いたします。</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22"/>
              <w:wordWrap w:val="0"/>
              <w:overflowPunct w:val="0"/>
              <w:rPr>
                <w:rFonts w:hint="default"/>
              </w:rPr>
            </w:pPr>
            <w:r>
              <w:rPr>
                <w:rFonts w:hint="eastAsia"/>
              </w:rPr>
              <w:t>記</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default"/>
              </w:rPr>
              <mc:AlternateContent>
                <mc:Choice Requires="wps">
                  <w:drawing>
                    <wp:anchor distT="0" distB="0" distL="114300" distR="114300" simplePos="0" relativeHeight="10" behindDoc="0" locked="0" layoutInCell="1" hidden="0" allowOverlap="1">
                      <wp:simplePos x="0" y="0"/>
                      <wp:positionH relativeFrom="column">
                        <wp:posOffset>1322705</wp:posOffset>
                      </wp:positionH>
                      <wp:positionV relativeFrom="paragraph">
                        <wp:posOffset>33655</wp:posOffset>
                      </wp:positionV>
                      <wp:extent cx="180975" cy="666750"/>
                      <wp:effectExtent l="635" t="635" r="29845" b="10795"/>
                      <wp:wrapNone/>
                      <wp:docPr id="1028" name="AutoShape 52"/>
                      <a:graphic xmlns:a="http://schemas.openxmlformats.org/drawingml/2006/main">
                        <a:graphicData uri="http://schemas.microsoft.com/office/word/2010/wordprocessingShape">
                          <wps:wsp>
                            <wps:cNvPr id="1028" name="AutoShape 52"/>
                            <wps:cNvSpPr/>
                            <wps:spPr>
                              <a:xfrm>
                                <a:off x="0" y="0"/>
                                <a:ext cx="180975" cy="666750"/>
                              </a:xfrm>
                              <a:prstGeom prst="rightBrace">
                                <a:avLst>
                                  <a:gd name="adj1" fmla="val 30702"/>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2" style="mso-wrap-distance-right:9pt;mso-wrap-distance-bottom:0pt;margin-top:2.65pt;mso-position-vertical-relative:text;mso-position-horizontal-relative:text;position:absolute;height:52.5pt;mso-wrap-distance-top:0pt;width:14.25pt;mso-wrap-distance-left:9pt;margin-left:104.15pt;z-index:10;"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ＭＳ 明朝" w:hAnsi="ＭＳ 明朝" w:eastAsia="ＭＳ 明朝"/>
                <w:sz w:val="21"/>
              </w:rPr>
              <w:t>　</w:t>
            </w:r>
            <w:r>
              <w:rPr>
                <w:rFonts w:hint="default" w:ascii="ＭＳ 明朝" w:hAnsi="ＭＳ 明朝" w:eastAsia="ＭＳ 明朝"/>
                <w:sz w:val="21"/>
              </w:rPr>
              <w:t>1</w:t>
            </w:r>
            <w:r>
              <w:rPr>
                <w:rFonts w:hint="eastAsia" w:ascii="ＭＳ 明朝" w:hAnsi="ＭＳ 明朝" w:eastAsia="ＭＳ 明朝"/>
                <w:sz w:val="21"/>
              </w:rPr>
              <w:t>　</w:t>
            </w:r>
            <w:r>
              <w:rPr>
                <w:rFonts w:hint="eastAsia" w:ascii="ＭＳ 明朝" w:hAnsi="ＭＳ 明朝" w:eastAsia="ＭＳ 明朝"/>
                <w:spacing w:val="35"/>
                <w:sz w:val="21"/>
              </w:rPr>
              <w:t>契約番</w:t>
            </w:r>
            <w:r>
              <w:rPr>
                <w:rFonts w:hint="eastAsia" w:ascii="ＭＳ 明朝" w:hAnsi="ＭＳ 明朝" w:eastAsia="ＭＳ 明朝"/>
                <w:sz w:val="21"/>
              </w:rPr>
              <w:t>号</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2</w:t>
            </w:r>
            <w:r>
              <w:rPr>
                <w:rFonts w:hint="eastAsia" w:ascii="ＭＳ 明朝" w:hAnsi="ＭＳ 明朝" w:eastAsia="ＭＳ 明朝"/>
                <w:sz w:val="21"/>
              </w:rPr>
              <w:t>　件　　　名　　　　</w:t>
            </w:r>
            <w:r>
              <w:rPr>
                <w:rFonts w:hint="eastAsia" w:ascii="ＭＳ 明朝" w:hAnsi="ＭＳ 明朝" w:eastAsia="ＭＳ 明朝"/>
                <w:color w:val="FF0000"/>
                <w:sz w:val="21"/>
              </w:rPr>
              <w:t>入札公告に記載のあるとおりに記載</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3</w:t>
            </w:r>
            <w:r>
              <w:rPr>
                <w:rFonts w:hint="eastAsia" w:ascii="ＭＳ 明朝" w:hAnsi="ＭＳ 明朝" w:eastAsia="ＭＳ 明朝"/>
                <w:sz w:val="21"/>
              </w:rPr>
              <w:t>　</w:t>
            </w:r>
            <w:r>
              <w:rPr>
                <w:rFonts w:hint="eastAsia" w:ascii="ＭＳ 明朝" w:hAnsi="ＭＳ 明朝" w:eastAsia="ＭＳ 明朝"/>
                <w:spacing w:val="35"/>
                <w:sz w:val="21"/>
              </w:rPr>
              <w:t>場　　</w:t>
            </w:r>
            <w:r>
              <w:rPr>
                <w:rFonts w:hint="eastAsia" w:ascii="ＭＳ 明朝" w:hAnsi="ＭＳ 明朝" w:eastAsia="ＭＳ 明朝"/>
                <w:sz w:val="21"/>
              </w:rPr>
              <w:t>所</w:t>
            </w:r>
          </w:p>
          <w:p>
            <w:pPr>
              <w:pStyle w:val="0"/>
              <w:rPr>
                <w:rFonts w:hint="default" w:ascii="ＭＳ 明朝" w:hAnsi="ＭＳ 明朝" w:eastAsia="ＭＳ 明朝"/>
                <w:sz w:val="21"/>
              </w:rPr>
            </w:pPr>
          </w:p>
        </w:tc>
      </w:tr>
      <w:tr>
        <w:trPr>
          <w:cantSplit/>
          <w:trHeight w:val="860" w:hRule="atLeast"/>
        </w:trPr>
        <w:tc>
          <w:tcPr>
            <w:tcW w:w="2086"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4</w:t>
            </w:r>
            <w:r>
              <w:rPr>
                <w:rFonts w:hint="eastAsia" w:ascii="ＭＳ 明朝" w:hAnsi="ＭＳ 明朝" w:eastAsia="ＭＳ 明朝"/>
                <w:sz w:val="21"/>
              </w:rPr>
              <w:t>　</w:t>
            </w:r>
            <w:r>
              <w:rPr>
                <w:rFonts w:hint="eastAsia" w:ascii="ＭＳ 明朝" w:hAnsi="ＭＳ 明朝" w:eastAsia="ＭＳ 明朝"/>
                <w:spacing w:val="35"/>
                <w:sz w:val="21"/>
              </w:rPr>
              <w:t>入札金</w:t>
            </w:r>
            <w:r>
              <w:rPr>
                <w:rFonts w:hint="eastAsia" w:ascii="ＭＳ 明朝" w:hAnsi="ＭＳ 明朝" w:eastAsia="ＭＳ 明朝"/>
                <w:sz w:val="21"/>
              </w:rPr>
              <w:t>額</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億</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cantSplit/>
          <w:trHeight w:val="70" w:hRule="atLeast"/>
        </w:trPr>
        <w:tc>
          <w:tcPr>
            <w:tcW w:w="8539"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eastAsia="ＭＳ 明朝"/>
                <w:sz w:val="21"/>
              </w:rPr>
            </w:pPr>
            <w:r>
              <w:rPr>
                <w:rFonts w:hint="eastAsia" w:ascii="ＭＳ 明朝" w:hAnsi="ＭＳ 明朝" w:eastAsia="ＭＳ 明朝"/>
                <w:sz w:val="21"/>
              </w:rPr>
              <w:t>　</w:t>
            </w:r>
          </w:p>
        </w:tc>
      </w:tr>
      <w:tr>
        <w:trPr>
          <w:cantSplit/>
          <w:trHeight w:val="832" w:hRule="atLeast"/>
        </w:trPr>
        <w:tc>
          <w:tcPr>
            <w:tcW w:w="2694"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5</w:t>
            </w:r>
            <w:r>
              <w:rPr>
                <w:rFonts w:hint="eastAsia" w:ascii="ＭＳ 明朝" w:hAnsi="ＭＳ 明朝" w:eastAsia="ＭＳ 明朝"/>
                <w:sz w:val="21"/>
              </w:rPr>
              <w:t>　入札保証金</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十</w:t>
            </w:r>
          </w:p>
          <w:p>
            <w:pPr>
              <w:pStyle w:val="0"/>
              <w:jc w:val="center"/>
              <w:rPr>
                <w:rFonts w:hint="default" w:ascii="ＭＳ 明朝" w:hAnsi="ＭＳ 明朝" w:eastAsia="ＭＳ 明朝"/>
                <w:sz w:val="21"/>
              </w:rPr>
            </w:pPr>
            <w:r>
              <w:rPr>
                <w:rFonts w:hint="eastAsia" w:ascii="ＭＳ 明朝" w:hAnsi="ＭＳ 明朝" w:eastAsia="ＭＳ 明朝"/>
                <w:sz w:val="21"/>
              </w:rPr>
              <w:t>免</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百</w:t>
            </w:r>
          </w:p>
          <w:p>
            <w:pPr>
              <w:pStyle w:val="0"/>
              <w:jc w:val="center"/>
              <w:rPr>
                <w:rFonts w:hint="default" w:ascii="ＭＳ 明朝" w:hAnsi="ＭＳ 明朝" w:eastAsia="ＭＳ 明朝"/>
                <w:sz w:val="21"/>
              </w:rPr>
            </w:pPr>
            <w:r>
              <w:rPr>
                <w:rFonts w:hint="eastAsia" w:ascii="ＭＳ 明朝" w:hAnsi="ＭＳ 明朝" w:eastAsia="ＭＳ 明朝"/>
                <w:sz w:val="21"/>
              </w:rPr>
              <w:t>除</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trHeight w:val="1168" w:hRule="atLeast"/>
        </w:trPr>
        <w:tc>
          <w:tcPr>
            <w:tcW w:w="8539" w:type="dxa"/>
            <w:gridSpan w:val="11"/>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w:t>
            </w:r>
          </w:p>
        </w:tc>
      </w:tr>
    </w:tbl>
    <w:p>
      <w:pPr>
        <w:pStyle w:val="0"/>
        <w:kinsoku w:val="0"/>
        <w:spacing w:line="358" w:lineRule="exact"/>
        <w:jc w:val="both"/>
        <w:rPr>
          <w:rFonts w:hint="default" w:ascii="ＭＳ 明朝" w:hAnsi="ＭＳ 明朝" w:eastAsia="ＭＳ 明朝"/>
          <w:b w:val="1"/>
          <w:sz w:val="21"/>
        </w:rPr>
      </w:pPr>
      <w:r>
        <w:rPr>
          <w:rFonts w:hint="default" w:ascii="ＭＳ 明朝" w:hAnsi="ＭＳ 明朝" w:eastAsia="ＭＳ 明朝"/>
          <w:b w:val="1"/>
          <w:sz w:val="21"/>
        </w:rPr>
        <w:br w:type="page"/>
      </w: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95250</wp:posOffset>
                </wp:positionV>
                <wp:extent cx="5727700" cy="2630170"/>
                <wp:effectExtent l="635" t="635" r="29845" b="10795"/>
                <wp:wrapNone/>
                <wp:docPr id="1029" name="Text Box 43"/>
                <a:graphic xmlns:a="http://schemas.openxmlformats.org/drawingml/2006/main">
                  <a:graphicData uri="http://schemas.microsoft.com/office/word/2010/wordprocessingShape">
                    <wps:wsp>
                      <wps:cNvPr id="1029" name="Text Box 43"/>
                      <wps:cNvSpPr txBox="1">
                        <a:spLocks noChangeArrowheads="1"/>
                      </wps:cNvSpPr>
                      <wps:spPr>
                        <a:xfrm>
                          <a:off x="0" y="0"/>
                          <a:ext cx="5727700" cy="263017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43" style="mso-wrap-distance-right:9pt;mso-wrap-distance-bottom:0pt;margin-top:7.5pt;mso-position-vertical-relative:text;mso-position-horizontal-relative:text;v-text-anchor:top;position:absolute;height:207.1pt;mso-wrap-distance-top:0pt;width:451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4540250</wp:posOffset>
                </wp:positionH>
                <wp:positionV relativeFrom="paragraph">
                  <wp:posOffset>40640</wp:posOffset>
                </wp:positionV>
                <wp:extent cx="1746250" cy="777240"/>
                <wp:effectExtent l="635" t="635" r="29845" b="10795"/>
                <wp:wrapNone/>
                <wp:docPr id="1030" name="Text Box 49"/>
                <a:graphic xmlns:a="http://schemas.openxmlformats.org/drawingml/2006/main">
                  <a:graphicData uri="http://schemas.microsoft.com/office/word/2010/wordprocessingShape">
                    <wps:wsp>
                      <wps:cNvPr id="1030" name="Text Box 49"/>
                      <wps:cNvSpPr txBox="1">
                        <a:spLocks noChangeArrowheads="1"/>
                      </wps:cNvSpPr>
                      <wps:spPr>
                        <a:xfrm>
                          <a:off x="0" y="0"/>
                          <a:ext cx="1746250" cy="77724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9" style="mso-wrap-distance-right:9pt;mso-wrap-distance-bottom:0pt;margin-top:3.2pt;mso-position-vertical-relative:text;mso-position-horizontal-relative:text;v-text-anchor:top;position:absolute;height:61.2pt;mso-wrap-distance-top:0pt;width:137.5pt;mso-wrap-distance-left:9pt;margin-left:357.5pt;z-index:11;"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1117600</wp:posOffset>
                </wp:positionH>
                <wp:positionV relativeFrom="paragraph">
                  <wp:posOffset>203200</wp:posOffset>
                </wp:positionV>
                <wp:extent cx="3696970" cy="4231640"/>
                <wp:effectExtent l="635" t="635" r="29845" b="10795"/>
                <wp:wrapNone/>
                <wp:docPr id="1031" name="Text Box 44"/>
                <a:graphic xmlns:a="http://schemas.openxmlformats.org/drawingml/2006/main">
                  <a:graphicData uri="http://schemas.microsoft.com/office/word/2010/wordprocessingShape">
                    <wps:wsp>
                      <wps:cNvPr id="1031" name="Text Box 44"/>
                      <wps:cNvSpPr txBox="1">
                        <a:spLocks noChangeArrowheads="1"/>
                      </wps:cNvSpPr>
                      <wps:spPr>
                        <a:xfrm>
                          <a:off x="0" y="0"/>
                          <a:ext cx="3696970" cy="423164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4" style="mso-wrap-distance-right:9pt;mso-wrap-distance-bottom:0pt;margin-top:16pt;mso-position-vertical-relative:text;mso-position-horizontal-relative:text;v-text-anchor:top;position:absolute;height:333.2pt;mso-wrap-distance-top:0pt;width:291.10000000000002pt;mso-wrap-distance-left:9pt;margin-left:88pt;z-index:3;" o:spid="_x0000_s1031" o:allowincell="t" o:allowoverlap="t" filled="t" fillcolor="#ffffff" stroked="t" strokecolor="#000000" strokeweight="1.5pt" o:spt="202" type="#_x0000_t202">
                <v:fill/>
                <v:stroke miterlimit="8" filltype="solid"/>
                <v:textbox style="layout-flow:horizontal;">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2" name="Text Box 48"/>
                <a:graphic xmlns:a="http://schemas.openxmlformats.org/drawingml/2006/main">
                  <a:graphicData uri="http://schemas.microsoft.com/office/word/2010/wordprocessingShape">
                    <wps:wsp>
                      <wps:cNvPr id="1032" name="Text Box 4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8" style="mso-wrap-distance-right:9pt;mso-wrap-distance-bottom:0pt;margin-top:16.55pt;mso-position-vertical-relative:text;mso-position-horizontal-relative:text;v-text-anchor:top;position:absolute;height:103.25pt;mso-wrap-distance-top:0pt;width:137.5pt;mso-wrap-distance-left:9pt;margin-left:335.5pt;z-index:7;" o:spid="_x0000_s1032"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99695</wp:posOffset>
                </wp:positionV>
                <wp:extent cx="628650" cy="688340"/>
                <wp:effectExtent l="635" t="635" r="29845" b="10795"/>
                <wp:wrapNone/>
                <wp:docPr id="1033" name="Rectangle 45"/>
                <a:graphic xmlns:a="http://schemas.openxmlformats.org/drawingml/2006/main">
                  <a:graphicData uri="http://schemas.microsoft.com/office/word/2010/wordprocessingShape">
                    <wps:wsp>
                      <wps:cNvPr id="1033" name="Rectangle 4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45" style="mso-wrap-distance-right:9pt;mso-wrap-distance-bottom:0pt;margin-top:7.85pt;mso-position-vertical-relative:text;mso-position-horizontal-relative:text;position:absolute;height:54.2pt;mso-wrap-distance-top:0pt;width:49.5pt;mso-wrap-distance-left:9pt;margin-left:115.5pt;z-index:4;"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57150</wp:posOffset>
                </wp:positionV>
                <wp:extent cx="3422650" cy="1177925"/>
                <wp:effectExtent l="635" t="635" r="29845" b="10795"/>
                <wp:wrapNone/>
                <wp:docPr id="1034" name="Text Box 46"/>
                <a:graphic xmlns:a="http://schemas.openxmlformats.org/drawingml/2006/main">
                  <a:graphicData uri="http://schemas.microsoft.com/office/word/2010/wordprocessingShape">
                    <wps:wsp>
                      <wps:cNvPr id="1034" name="Text Box 46"/>
                      <wps:cNvSpPr txBox="1">
                        <a:spLocks noChangeArrowheads="1"/>
                      </wps:cNvSpPr>
                      <wps:spPr>
                        <a:xfrm>
                          <a:off x="0" y="0"/>
                          <a:ext cx="3422650" cy="1177925"/>
                        </a:xfrm>
                        <a:prstGeom prst="rect">
                          <a:avLst/>
                        </a:prstGeom>
                        <a:solidFill>
                          <a:srgbClr val="FFFFFF"/>
                        </a:solidFill>
                        <a:ln w="9525">
                          <a:solidFill>
                            <a:srgbClr val="000000"/>
                          </a:solidFill>
                          <a:miter lim="800000"/>
                          <a:headEnd/>
                          <a:tailEnd/>
                        </a:ln>
                      </wps:spPr>
                      <wps:txbx>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競争入札参加業者登録番号　　○○○○○○○</w:t>
                            </w:r>
                          </w:p>
                          <w:p>
                            <w:pPr>
                              <w:pStyle w:val="0"/>
                              <w:rPr>
                                <w:rFonts w:hint="default"/>
                                <w:sz w:val="24"/>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6" style="mso-wrap-distance-right:9pt;mso-wrap-distance-bottom:0pt;margin-top:4.5pt;mso-position-vertical-relative:text;mso-position-horizontal-relative:text;v-text-anchor:top;position:absolute;height:92.75pt;mso-wrap-distance-top:0pt;width:269.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競争入札参加業者登録番号　　○○○○○○○</w:t>
                      </w:r>
                    </w:p>
                    <w:p>
                      <w:pPr>
                        <w:pStyle w:val="0"/>
                        <w:rPr>
                          <w:rFonts w:hint="default"/>
                          <w:sz w:val="24"/>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299" distR="114299" simplePos="0" relativeHeight="6" behindDoc="0" locked="0" layoutInCell="1" hidden="0" allowOverlap="1">
                <wp:simplePos x="0" y="0"/>
                <wp:positionH relativeFrom="column">
                  <wp:posOffset>3771265</wp:posOffset>
                </wp:positionH>
                <wp:positionV relativeFrom="paragraph">
                  <wp:posOffset>106680</wp:posOffset>
                </wp:positionV>
                <wp:extent cx="0" cy="290195"/>
                <wp:effectExtent l="36195" t="635" r="65405" b="10160"/>
                <wp:wrapNone/>
                <wp:docPr id="1035" name="Line 47"/>
                <a:graphic xmlns:a="http://schemas.openxmlformats.org/drawingml/2006/main">
                  <a:graphicData uri="http://schemas.microsoft.com/office/word/2010/wordprocessingShape">
                    <wps:wsp>
                      <wps:cNvPr id="1035" name="Line 4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47" style="mso-wrap-distance-top:0pt;flip:x y;mso-wrap-distance-right:8.94pt;mso-wrap-distance-bottom:0pt;mso-position-vertical-relative:text;mso-position-horizontal-relative:text;position:absolute;mso-wrap-distance-left:8.94pt;z-index:6;" o:spid="_x0000_s1035" o:allowincell="t" o:allowoverlap="t" filled="f" stroked="t" strokecolor="#000000" strokeweight="0.75pt" o:spt="20" from="296.95pt,8.4pt" to="296.95pt,31.2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pStyle w:val="0"/>
        <w:overflowPunct w:val="0"/>
        <w:spacing w:line="360" w:lineRule="auto"/>
        <w:rPr>
          <w:rFonts w:hint="default" w:asciiTheme="minorEastAsia" w:hAnsiTheme="minorEastAsia" w:eastAsiaTheme="minorEastAsia"/>
          <w:b w:val="1"/>
          <w:sz w:val="24"/>
        </w:rPr>
      </w:pPr>
      <w:r>
        <w:rPr>
          <w:rFonts w:hint="default" w:ascii="ＭＳ 明朝" w:hAnsi="ＭＳ 明朝" w:eastAsia="ＭＳ 明朝"/>
          <w:b w:val="1"/>
          <w:sz w:val="21"/>
        </w:rPr>
        <w:br w:type="page"/>
      </w: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spacing w:line="360" w:lineRule="auto"/>
        <w:ind w:right="5040"/>
        <w:rPr>
          <w:rFonts w:hint="default" w:asciiTheme="minorEastAsia" w:hAnsiTheme="minorEastAsia" w:eastAsiaTheme="minorEastAsia"/>
          <w:sz w:val="24"/>
        </w:rPr>
      </w:pPr>
    </w:p>
    <w:p>
      <w:pPr>
        <w:pStyle w:val="0"/>
        <w:overflowPunct w:val="0"/>
        <w:spacing w:line="360" w:lineRule="auto"/>
        <w:ind w:left="3969"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spacing w:line="360" w:lineRule="auto"/>
        <w:rPr>
          <w:rFonts w:hint="default" w:asciiTheme="minorEastAsia" w:hAnsiTheme="minorEastAsia" w:eastAsiaTheme="minorEastAsia"/>
          <w:sz w:val="24"/>
        </w:rPr>
      </w:pPr>
    </w:p>
    <w:p>
      <w:pPr>
        <w:pStyle w:val="0"/>
        <w:kinsoku w:val="0"/>
        <w:wordWrap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spacing w:line="360" w:lineRule="auto"/>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spacing w:line="360" w:lineRule="auto"/>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idowControl w:val="1"/>
        <w:autoSpaceDE w:val="1"/>
        <w:autoSpaceDN w:val="1"/>
        <w:adjustRightInd w:val="1"/>
        <w:spacing w:line="360" w:lineRule="auto"/>
        <w:rPr>
          <w:rFonts w:hint="default" w:ascii="ＭＳ 明朝" w:hAnsi="ＭＳ 明朝" w:eastAsia="ＭＳ 明朝"/>
          <w:sz w:val="21"/>
        </w:rPr>
      </w:pPr>
    </w:p>
    <w:p>
      <w:pPr>
        <w:pStyle w:val="0"/>
        <w:wordWrap w:val="0"/>
        <w:rPr>
          <w:rFonts w:hint="default" w:ascii="ＭＳ 明朝" w:hAnsi="ＭＳ 明朝" w:eastAsia="ＭＳ 明朝"/>
          <w:sz w:val="21"/>
        </w:rPr>
      </w:pPr>
    </w:p>
    <w:p>
      <w:pPr>
        <w:rPr>
          <w:rFonts w:hint="default" w:ascii="ＭＳ 明朝" w:hAnsi="ＭＳ 明朝" w:eastAsia="ＭＳ 明朝"/>
          <w:sz w:val="21"/>
        </w:rPr>
        <w:sectPr>
          <w:footerReference r:id="rId5" w:type="even"/>
          <w:footerReference r:id="rId6" w:type="default"/>
          <w:footnotePr>
            <w:numRestart w:val="eachSect"/>
          </w:footnotePr>
          <w:type w:val="continuous"/>
          <w:pgSz w:w="11906" w:h="16838"/>
          <w:pgMar w:top="851" w:right="567" w:bottom="709" w:left="1134" w:header="720" w:footer="561" w:gutter="0"/>
          <w:cols w:space="720"/>
          <w:textDirection w:val="lrTb"/>
          <w:docGrid w:type="linesAndChars" w:linePitch="273" w:charSpace="-6144"/>
        </w:sectPr>
      </w:pPr>
    </w:p>
    <w:p>
      <w:pPr>
        <w:pStyle w:val="0"/>
        <w:ind w:firstLine="240" w:firstLineChars="100"/>
        <w:rPr>
          <w:rFonts w:hint="default" w:asciiTheme="minorEastAsia" w:hAnsiTheme="minorEastAsia" w:eastAsiaTheme="minorEastAsia"/>
          <w:sz w:val="22"/>
        </w:rPr>
      </w:pPr>
    </w:p>
    <w:p>
      <w:pPr>
        <w:pStyle w:val="0"/>
        <w:ind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1"/>
              </w:rPr>
              <w:t>所在</w:t>
            </w:r>
            <w:r>
              <w:rPr>
                <w:rFonts w:hint="eastAsia" w:asciiTheme="minorEastAsia" w:hAnsiTheme="minorEastAsia" w:eastAsiaTheme="minorEastAsia"/>
                <w:spacing w:val="1"/>
                <w:sz w:val="22"/>
                <w:fitText w:val="1547" w:id="1"/>
              </w:rPr>
              <w:t>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2"/>
              </w:rPr>
              <w:t>商号又は名</w:t>
            </w:r>
            <w:r>
              <w:rPr>
                <w:rFonts w:hint="eastAsia" w:asciiTheme="minorEastAsia" w:hAnsiTheme="minorEastAsia" w:eastAsiaTheme="minorEastAsia"/>
                <w:spacing w:val="3"/>
                <w:sz w:val="22"/>
                <w:fitText w:val="1547" w:id="2"/>
              </w:rPr>
              <w:t>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3"/>
              </w:rPr>
              <w:t>契約番</w:t>
            </w:r>
            <w:r>
              <w:rPr>
                <w:rFonts w:hint="eastAsia" w:asciiTheme="minorEastAsia" w:hAnsiTheme="minorEastAsia" w:eastAsiaTheme="minorEastAsia"/>
                <w:spacing w:val="1"/>
                <w:sz w:val="22"/>
                <w:fitText w:val="1105" w:id="3"/>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4"/>
              </w:rPr>
              <w:t>契約</w:t>
            </w:r>
            <w:r>
              <w:rPr>
                <w:rFonts w:hint="eastAsia" w:asciiTheme="minorEastAsia" w:hAnsiTheme="minorEastAsia" w:eastAsiaTheme="minorEastAsia"/>
                <w:spacing w:val="0"/>
                <w:sz w:val="22"/>
                <w:fitText w:val="1105" w:id="4"/>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199"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40" w:leftChars="200"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3751"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620" w:leftChars="2100"/>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left="990" w:leftChars="0" w:right="0" w:righ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left="990" w:leftChars="0" w:right="0" w:righ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ind w:left="990" w:leftChars="0" w:right="0" w:righ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p>
      <w:pPr>
        <w:pStyle w:val="0"/>
        <w:rPr>
          <w:rFonts w:hint="default"/>
        </w:rPr>
      </w:pPr>
    </w:p>
    <w:sectPr>
      <w:footnotePr>
        <w:numRestart w:val="eachSect"/>
      </w:footnotePr>
      <w:pgSz w:w="11906" w:h="16838"/>
      <w:pgMar w:top="952" w:right="1021" w:bottom="816" w:left="1418" w:header="720" w:footer="564" w:gutter="0"/>
      <w:cols w:space="720"/>
      <w:textDirection w:val="lrTb"/>
      <w:docGrid w:type="linesAndChars" w:linePitch="271"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002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9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lock w:val="unlocked"/>
      <w:docPartObj>
        <w:docPartGallery w:val="Page Numbers (Bottom of Page)"/>
        <w:docPartUnique/>
      </w:docPartObj>
    </w:sdtPr>
    <w:sdtEndPr>
      <w:rPr>
        <w:rFonts w:hint="eastAsia"/>
      </w:rPr>
    </w:sdtEndPr>
    <w:sdtContent>
      <w:p>
        <w:pPr>
          <w:pStyle w:val="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Style w:val="21"/>
            <w:rFonts w:hint="eastAsia"/>
          </w:rPr>
          <w:t>2</w:t>
        </w:r>
        <w:r>
          <w:rPr>
            <w:rFonts w:hint="eastAsia"/>
          </w:rPr>
          <w:fldChar w:fldCharType="end"/>
        </w:r>
      </w:p>
    </w:sdtContent>
  </w:sdt>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hyphenationZone w:val="0"/>
  <w:doNotHyphenateCaps/>
  <w:drawingGridHorizontalSpacing w:val="210"/>
  <w:displayHorizontalDrawingGridEvery w:val="0"/>
  <w:displayVerticalDrawingGridEvery w:val="2"/>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0"/>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0"/>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paragraph" w:styleId="29">
    <w:name w:val="List Paragraph"/>
    <w:basedOn w:val="0"/>
    <w:next w:val="29"/>
    <w:link w:val="0"/>
    <w:uiPriority w:val="0"/>
    <w:qFormat/>
    <w:pPr>
      <w:ind w:left="840" w:leftChars="400"/>
    </w:p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character" w:styleId="32" w:customStyle="1">
    <w:name w:val="ヘッダー (文字)"/>
    <w:next w:val="32"/>
    <w:link w:val="19"/>
    <w:uiPriority w:val="0"/>
    <w:rPr>
      <w:rFonts w:ascii="Mincho" w:hAnsi="Mincho" w:eastAsia="Mincho"/>
      <w:spacing w:val="25"/>
    </w:rPr>
  </w:style>
  <w:style w:type="table" w:styleId="33">
    <w:name w:val="Table Grid"/>
    <w:basedOn w:val="11"/>
    <w:next w:val="33"/>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10</Pages>
  <Words>72</Words>
  <Characters>5598</Characters>
  <Application>JUST Note</Application>
  <Lines>431</Lines>
  <Paragraphs>266</Paragraphs>
  <CharactersWithSpaces>6024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髙橋　和也</dc:creator>
  <cp:lastModifiedBy>髙橋　和也</cp:lastModifiedBy>
  <cp:lastPrinted>2026-08-25T07:33:15Z</cp:lastPrinted>
  <dcterms:created xsi:type="dcterms:W3CDTF">2026-08-25T06:48:00Z</dcterms:created>
  <dcterms:modified xsi:type="dcterms:W3CDTF">2026-08-25T07:09:16Z</dcterms:modified>
  <cp:revision>2</cp:revision>
</cp:coreProperties>
</file>